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6B5" w:rsidRPr="000A3841" w:rsidRDefault="000A3841" w:rsidP="000A3841">
      <w:pPr>
        <w:rPr>
          <w:rFonts w:ascii="Calibri" w:hAnsi="Calibri" w:cs="Calibri"/>
          <w:color w:val="000000"/>
        </w:rPr>
      </w:pPr>
      <w:r w:rsidRPr="000A3841">
        <w:rPr>
          <w:b/>
          <w:highlight w:val="yellow"/>
        </w:rPr>
        <w:t>Discussion Item #1</w:t>
      </w:r>
      <w:r>
        <w:rPr>
          <w:b/>
        </w:rPr>
        <w:t xml:space="preserve"> …</w:t>
      </w:r>
      <w:r w:rsidR="00C836B5" w:rsidRPr="000A3841">
        <w:rPr>
          <w:rFonts w:ascii="Calibri" w:hAnsi="Calibri" w:cs="Calibri"/>
          <w:color w:val="000000"/>
        </w:rPr>
        <w:t xml:space="preserve">Categories of Issues </w:t>
      </w:r>
    </w:p>
    <w:p w:rsidR="00C836B5" w:rsidRPr="002322B9" w:rsidRDefault="00C836B5" w:rsidP="00C836B5">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22B9">
        <w:rPr>
          <w:rFonts w:ascii="Calibri" w:hAnsi="Calibri" w:cs="Calibri"/>
          <w:color w:val="000000"/>
        </w:rPr>
        <w:t xml:space="preserve">funding </w:t>
      </w:r>
      <w:r w:rsidR="00BB0668">
        <w:rPr>
          <w:rFonts w:ascii="Calibri" w:hAnsi="Calibri" w:cs="Calibri"/>
          <w:color w:val="000000"/>
        </w:rPr>
        <w:t xml:space="preserve">level </w:t>
      </w:r>
      <w:r>
        <w:rPr>
          <w:rFonts w:ascii="Calibri" w:hAnsi="Calibri" w:cs="Calibri"/>
          <w:color w:val="000000"/>
        </w:rPr>
        <w:t xml:space="preserve">&amp; </w:t>
      </w:r>
      <w:r w:rsidRPr="002322B9">
        <w:rPr>
          <w:rFonts w:ascii="Times New Roman" w:hAnsi="Times New Roman" w:cs="Times New Roman"/>
          <w:color w:val="000000"/>
          <w:sz w:val="24"/>
          <w:szCs w:val="24"/>
        </w:rPr>
        <w:t xml:space="preserve">variety of funding mechanisms </w:t>
      </w:r>
    </w:p>
    <w:p w:rsidR="00C836B5" w:rsidRPr="002322B9" w:rsidRDefault="00C836B5" w:rsidP="00C836B5">
      <w:pPr>
        <w:pStyle w:val="ListParagraph"/>
        <w:numPr>
          <w:ilvl w:val="0"/>
          <w:numId w:val="12"/>
        </w:numPr>
        <w:autoSpaceDE w:val="0"/>
        <w:autoSpaceDN w:val="0"/>
        <w:adjustRightInd w:val="0"/>
        <w:spacing w:after="0" w:line="240" w:lineRule="auto"/>
        <w:rPr>
          <w:rFonts w:ascii="Calibri" w:hAnsi="Calibri" w:cs="Calibri"/>
          <w:color w:val="000000"/>
        </w:rPr>
      </w:pPr>
      <w:r w:rsidRPr="002322B9">
        <w:rPr>
          <w:rFonts w:ascii="Calibri" w:hAnsi="Calibri" w:cs="Calibri"/>
          <w:color w:val="000000"/>
        </w:rPr>
        <w:t>capacity</w:t>
      </w:r>
    </w:p>
    <w:p w:rsidR="00C836B5" w:rsidRPr="002322B9" w:rsidRDefault="00C836B5" w:rsidP="00C836B5">
      <w:pPr>
        <w:pStyle w:val="ListParagraph"/>
        <w:numPr>
          <w:ilvl w:val="0"/>
          <w:numId w:val="12"/>
        </w:numPr>
        <w:autoSpaceDE w:val="0"/>
        <w:autoSpaceDN w:val="0"/>
        <w:adjustRightInd w:val="0"/>
        <w:spacing w:after="0" w:line="240" w:lineRule="auto"/>
        <w:rPr>
          <w:rFonts w:ascii="Calibri" w:hAnsi="Calibri" w:cs="Calibri"/>
          <w:color w:val="000000"/>
        </w:rPr>
      </w:pPr>
      <w:r w:rsidRPr="002322B9">
        <w:rPr>
          <w:rFonts w:ascii="Calibri" w:hAnsi="Calibri" w:cs="Calibri"/>
          <w:color w:val="000000"/>
        </w:rPr>
        <w:t xml:space="preserve">political and </w:t>
      </w:r>
      <w:r w:rsidR="00BB0668">
        <w:rPr>
          <w:rFonts w:ascii="Calibri" w:hAnsi="Calibri" w:cs="Calibri"/>
          <w:color w:val="000000"/>
        </w:rPr>
        <w:t>(RO)</w:t>
      </w:r>
      <w:r w:rsidRPr="002322B9">
        <w:rPr>
          <w:rFonts w:ascii="Calibri" w:hAnsi="Calibri" w:cs="Calibri"/>
          <w:color w:val="000000"/>
        </w:rPr>
        <w:t xml:space="preserve">institutional support </w:t>
      </w:r>
    </w:p>
    <w:p w:rsidR="00C836B5" w:rsidRPr="002322B9" w:rsidRDefault="00C836B5" w:rsidP="00C836B5">
      <w:pPr>
        <w:pStyle w:val="ListParagraph"/>
        <w:numPr>
          <w:ilvl w:val="0"/>
          <w:numId w:val="12"/>
        </w:numPr>
        <w:autoSpaceDE w:val="0"/>
        <w:autoSpaceDN w:val="0"/>
        <w:adjustRightInd w:val="0"/>
        <w:spacing w:after="0" w:line="240" w:lineRule="auto"/>
        <w:rPr>
          <w:rFonts w:ascii="Calibri" w:hAnsi="Calibri" w:cs="Calibri"/>
          <w:color w:val="000000"/>
        </w:rPr>
      </w:pPr>
      <w:r w:rsidRPr="002322B9">
        <w:rPr>
          <w:rFonts w:ascii="Calibri" w:hAnsi="Calibri" w:cs="Calibri"/>
          <w:color w:val="000000"/>
        </w:rPr>
        <w:t xml:space="preserve">individuals actively participating  </w:t>
      </w:r>
    </w:p>
    <w:p w:rsidR="00C836B5" w:rsidRPr="002322B9" w:rsidRDefault="00C836B5" w:rsidP="00C836B5">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22B9">
        <w:rPr>
          <w:rFonts w:ascii="Times New Roman" w:hAnsi="Times New Roman" w:cs="Times New Roman"/>
          <w:color w:val="000000"/>
          <w:sz w:val="24"/>
          <w:szCs w:val="24"/>
        </w:rPr>
        <w:t>innovative and collaborative science</w:t>
      </w:r>
    </w:p>
    <w:p w:rsidR="00C836B5" w:rsidRPr="002322B9" w:rsidRDefault="00C836B5" w:rsidP="00C836B5">
      <w:pPr>
        <w:pStyle w:val="ListParagraph"/>
        <w:numPr>
          <w:ilvl w:val="0"/>
          <w:numId w:val="12"/>
        </w:numPr>
        <w:autoSpaceDE w:val="0"/>
        <w:autoSpaceDN w:val="0"/>
        <w:adjustRightInd w:val="0"/>
        <w:spacing w:after="0" w:line="240" w:lineRule="auto"/>
        <w:rPr>
          <w:rFonts w:ascii="Calibri" w:hAnsi="Calibri" w:cs="Calibri"/>
          <w:color w:val="000000"/>
        </w:rPr>
      </w:pPr>
      <w:r w:rsidRPr="002322B9">
        <w:rPr>
          <w:rFonts w:ascii="Calibri" w:hAnsi="Calibri" w:cs="Calibri"/>
          <w:color w:val="000000"/>
        </w:rPr>
        <w:t xml:space="preserve">projects that reflect stakeholder-driven needs for science and tools </w:t>
      </w:r>
    </w:p>
    <w:p w:rsidR="00C836B5" w:rsidRPr="002322B9" w:rsidRDefault="00C836B5" w:rsidP="00C836B5">
      <w:pPr>
        <w:pStyle w:val="ListParagraph"/>
        <w:numPr>
          <w:ilvl w:val="0"/>
          <w:numId w:val="12"/>
        </w:numPr>
        <w:autoSpaceDE w:val="0"/>
        <w:autoSpaceDN w:val="0"/>
        <w:adjustRightInd w:val="0"/>
        <w:spacing w:after="0" w:line="240" w:lineRule="auto"/>
        <w:rPr>
          <w:rFonts w:ascii="Calibri" w:hAnsi="Calibri" w:cs="Calibri"/>
          <w:color w:val="000000"/>
        </w:rPr>
      </w:pPr>
      <w:r w:rsidRPr="002322B9">
        <w:rPr>
          <w:rFonts w:ascii="Calibri" w:hAnsi="Calibri" w:cs="Calibri"/>
          <w:color w:val="000000"/>
        </w:rPr>
        <w:t xml:space="preserve">collaboration across boundaries and jurisdictions  </w:t>
      </w:r>
    </w:p>
    <w:p w:rsidR="00C836B5" w:rsidRPr="002322B9" w:rsidRDefault="00C836B5" w:rsidP="00C836B5">
      <w:pPr>
        <w:pStyle w:val="ListParagraph"/>
        <w:numPr>
          <w:ilvl w:val="0"/>
          <w:numId w:val="12"/>
        </w:numPr>
        <w:autoSpaceDE w:val="0"/>
        <w:autoSpaceDN w:val="0"/>
        <w:adjustRightInd w:val="0"/>
        <w:spacing w:after="0" w:line="240" w:lineRule="auto"/>
        <w:rPr>
          <w:rFonts w:ascii="Calibri" w:hAnsi="Calibri" w:cs="Calibri"/>
          <w:color w:val="000000"/>
        </w:rPr>
      </w:pPr>
      <w:r w:rsidRPr="002322B9">
        <w:rPr>
          <w:rFonts w:ascii="Calibri" w:hAnsi="Calibri" w:cs="Calibri"/>
          <w:color w:val="000000"/>
        </w:rPr>
        <w:t xml:space="preserve">influencing on-the-ground conservation decisions </w:t>
      </w:r>
    </w:p>
    <w:p w:rsidR="00C0700B" w:rsidRDefault="00C0700B" w:rsidP="0050268F">
      <w:pPr>
        <w:pStyle w:val="Default"/>
        <w:rPr>
          <w:sz w:val="22"/>
          <w:szCs w:val="22"/>
        </w:rPr>
      </w:pPr>
    </w:p>
    <w:p w:rsidR="00C836B5" w:rsidRPr="00C836B5" w:rsidRDefault="0050268F" w:rsidP="000A3841">
      <w:pPr>
        <w:pStyle w:val="Default"/>
        <w:ind w:left="360"/>
        <w:rPr>
          <w:sz w:val="22"/>
          <w:szCs w:val="22"/>
        </w:rPr>
      </w:pPr>
      <w:r w:rsidRPr="000A3841">
        <w:rPr>
          <w:bCs/>
          <w:sz w:val="22"/>
        </w:rPr>
        <w:t>NAS Review</w:t>
      </w:r>
      <w:r w:rsidRPr="000A3841">
        <w:rPr>
          <w:b/>
          <w:bCs/>
          <w:sz w:val="22"/>
        </w:rPr>
        <w:t xml:space="preserve"> </w:t>
      </w:r>
      <w:r>
        <w:t>…</w:t>
      </w:r>
      <w:r w:rsidRPr="0050268F">
        <w:t xml:space="preserve">Critical components that are important for such collaborative efforts include </w:t>
      </w:r>
    </w:p>
    <w:p w:rsidR="00C836B5" w:rsidRPr="000A3841" w:rsidRDefault="0050268F" w:rsidP="00C836B5">
      <w:pPr>
        <w:pStyle w:val="Default"/>
        <w:numPr>
          <w:ilvl w:val="0"/>
          <w:numId w:val="13"/>
        </w:numPr>
        <w:rPr>
          <w:sz w:val="22"/>
          <w:szCs w:val="22"/>
        </w:rPr>
      </w:pPr>
      <w:r w:rsidRPr="0050268F">
        <w:t xml:space="preserve">strong stakeholder engagement, </w:t>
      </w:r>
    </w:p>
    <w:p w:rsidR="00C836B5" w:rsidRPr="00C836B5" w:rsidRDefault="0050268F" w:rsidP="00C836B5">
      <w:pPr>
        <w:pStyle w:val="Default"/>
        <w:numPr>
          <w:ilvl w:val="0"/>
          <w:numId w:val="13"/>
        </w:numPr>
        <w:rPr>
          <w:sz w:val="22"/>
          <w:szCs w:val="22"/>
        </w:rPr>
      </w:pPr>
      <w:r w:rsidRPr="0050268F">
        <w:t xml:space="preserve">adaptive management, </w:t>
      </w:r>
    </w:p>
    <w:p w:rsidR="00C836B5" w:rsidRPr="00C836B5" w:rsidRDefault="0050268F" w:rsidP="00C836B5">
      <w:pPr>
        <w:pStyle w:val="Default"/>
        <w:numPr>
          <w:ilvl w:val="0"/>
          <w:numId w:val="13"/>
        </w:numPr>
        <w:rPr>
          <w:sz w:val="22"/>
          <w:szCs w:val="22"/>
        </w:rPr>
      </w:pPr>
      <w:r w:rsidRPr="0050268F">
        <w:t xml:space="preserve">strategic planning efforts, </w:t>
      </w:r>
    </w:p>
    <w:p w:rsidR="00C836B5" w:rsidRPr="00C836B5" w:rsidRDefault="0050268F" w:rsidP="00C836B5">
      <w:pPr>
        <w:pStyle w:val="Default"/>
        <w:numPr>
          <w:ilvl w:val="0"/>
          <w:numId w:val="13"/>
        </w:numPr>
        <w:rPr>
          <w:sz w:val="22"/>
          <w:szCs w:val="22"/>
        </w:rPr>
      </w:pPr>
      <w:r w:rsidRPr="0050268F">
        <w:t xml:space="preserve">metrics to aggregate project impacts, </w:t>
      </w:r>
    </w:p>
    <w:p w:rsidR="00C836B5" w:rsidRPr="00C836B5" w:rsidRDefault="0050268F" w:rsidP="00C836B5">
      <w:pPr>
        <w:pStyle w:val="Default"/>
        <w:numPr>
          <w:ilvl w:val="0"/>
          <w:numId w:val="13"/>
        </w:numPr>
        <w:rPr>
          <w:sz w:val="22"/>
          <w:szCs w:val="22"/>
        </w:rPr>
      </w:pPr>
      <w:r w:rsidRPr="0050268F">
        <w:t xml:space="preserve">leveraging, and </w:t>
      </w:r>
    </w:p>
    <w:p w:rsidR="000A3841" w:rsidRDefault="0050268F" w:rsidP="000A3841">
      <w:pPr>
        <w:pStyle w:val="Default"/>
        <w:numPr>
          <w:ilvl w:val="0"/>
          <w:numId w:val="13"/>
        </w:numPr>
        <w:pBdr>
          <w:bottom w:val="single" w:sz="6" w:space="1" w:color="auto"/>
        </w:pBdr>
        <w:rPr>
          <w:sz w:val="22"/>
          <w:szCs w:val="22"/>
        </w:rPr>
      </w:pPr>
      <w:r w:rsidRPr="0050268F">
        <w:t xml:space="preserve">a lead agency that provides resources and leadership. </w:t>
      </w:r>
      <w:r w:rsidR="00BB0668">
        <w:br/>
      </w:r>
      <w:r>
        <w:t xml:space="preserve"> …</w:t>
      </w:r>
      <w:r w:rsidRPr="000A3841">
        <w:rPr>
          <w:sz w:val="22"/>
          <w:szCs w:val="22"/>
        </w:rPr>
        <w:t xml:space="preserve">However, a firm financial commitment seems essential to sustaining the LCCs.   …no single non-federal partner—and particularly states--have a mandate or jurisdiction that allows or encourages them to coordinate at a coast-to-coast geographic or international level; this suggests that federal coordination is warranted if it’s done with full recognition and appreciation for the individual authorities and mandates of individual partners in the LCCs. </w:t>
      </w:r>
    </w:p>
    <w:p w:rsidR="000A3841" w:rsidRDefault="000A3841" w:rsidP="000A3841">
      <w:pPr>
        <w:pStyle w:val="Default"/>
        <w:numPr>
          <w:ilvl w:val="0"/>
          <w:numId w:val="13"/>
        </w:numPr>
        <w:pBdr>
          <w:bottom w:val="single" w:sz="6" w:space="1" w:color="auto"/>
        </w:pBdr>
        <w:rPr>
          <w:sz w:val="22"/>
          <w:szCs w:val="22"/>
        </w:rPr>
      </w:pPr>
      <w:r w:rsidRPr="0050268F">
        <w:t>unifying theme,</w:t>
      </w:r>
    </w:p>
    <w:p w:rsidR="000A3841" w:rsidRPr="000A3841" w:rsidRDefault="000A3841" w:rsidP="000A3841">
      <w:pPr>
        <w:pStyle w:val="Default"/>
        <w:pBdr>
          <w:bottom w:val="single" w:sz="6" w:space="1" w:color="auto"/>
        </w:pBdr>
        <w:ind w:left="360"/>
        <w:rPr>
          <w:sz w:val="22"/>
          <w:szCs w:val="22"/>
        </w:rPr>
      </w:pPr>
    </w:p>
    <w:p w:rsidR="00C836B5" w:rsidRDefault="00C836B5" w:rsidP="0050268F">
      <w:pPr>
        <w:pStyle w:val="Default"/>
        <w:rPr>
          <w:sz w:val="22"/>
          <w:szCs w:val="22"/>
        </w:rPr>
      </w:pPr>
    </w:p>
    <w:p w:rsidR="000A3841" w:rsidRPr="000A3841" w:rsidRDefault="000A3841" w:rsidP="000A3841">
      <w:pPr>
        <w:rPr>
          <w:b/>
        </w:rPr>
      </w:pPr>
      <w:r w:rsidRPr="000A3841">
        <w:rPr>
          <w:b/>
          <w:highlight w:val="yellow"/>
        </w:rPr>
        <w:t>Discussion Item #</w:t>
      </w:r>
      <w:r w:rsidRPr="000A3841">
        <w:rPr>
          <w:b/>
          <w:highlight w:val="yellow"/>
        </w:rPr>
        <w:t>2</w:t>
      </w:r>
      <w:r>
        <w:rPr>
          <w:b/>
        </w:rPr>
        <w:t xml:space="preserve"> …</w:t>
      </w:r>
      <w:r w:rsidRPr="000A3841">
        <w:rPr>
          <w:rFonts w:ascii="Calibri" w:hAnsi="Calibri" w:cs="Calibri"/>
          <w:b/>
          <w:bCs/>
          <w:color w:val="000000"/>
        </w:rPr>
        <w:t xml:space="preserve"> </w:t>
      </w:r>
      <w:r w:rsidRPr="0050268F">
        <w:rPr>
          <w:rFonts w:ascii="Calibri" w:hAnsi="Calibri" w:cs="Calibri"/>
          <w:b/>
          <w:bCs/>
          <w:color w:val="000000"/>
        </w:rPr>
        <w:t>Existing Challenges/Barriers</w:t>
      </w:r>
    </w:p>
    <w:p w:rsidR="000A3841" w:rsidRDefault="000A3841" w:rsidP="0050268F">
      <w:pPr>
        <w:pStyle w:val="Default"/>
        <w:rPr>
          <w:sz w:val="22"/>
          <w:szCs w:val="22"/>
        </w:rPr>
      </w:pPr>
    </w:p>
    <w:p w:rsidR="004C2D88" w:rsidRPr="001010E0" w:rsidRDefault="004C2D88" w:rsidP="001010E0">
      <w:pPr>
        <w:pBdr>
          <w:top w:val="single" w:sz="4" w:space="1" w:color="auto"/>
          <w:left w:val="single" w:sz="4" w:space="4" w:color="auto"/>
          <w:bottom w:val="single" w:sz="4" w:space="1" w:color="auto"/>
          <w:right w:val="single" w:sz="4" w:space="4" w:color="auto"/>
        </w:pBdr>
        <w:shd w:val="clear" w:color="auto" w:fill="E7E6E6" w:themeFill="background2"/>
        <w:rPr>
          <w:sz w:val="18"/>
        </w:rPr>
      </w:pPr>
      <w:r w:rsidRPr="001010E0">
        <w:rPr>
          <w:sz w:val="18"/>
        </w:rPr>
        <w:t xml:space="preserve">Notes from: LCC White Paper, Elsa Haubold and Greg Wathen. Prepared for National Landscape Practitioners Forum, Nov. 2017.  </w:t>
      </w:r>
      <w:bookmarkStart w:id="0" w:name="_GoBack"/>
      <w:bookmarkEnd w:id="0"/>
    </w:p>
    <w:p w:rsidR="003C264D" w:rsidRPr="004C2D88" w:rsidRDefault="004C2D88" w:rsidP="004C2D88">
      <w:pPr>
        <w:pStyle w:val="Default"/>
        <w:pBdr>
          <w:top w:val="single" w:sz="4" w:space="1" w:color="auto"/>
          <w:left w:val="single" w:sz="4" w:space="4" w:color="auto"/>
          <w:bottom w:val="single" w:sz="4" w:space="1" w:color="auto"/>
          <w:right w:val="single" w:sz="4" w:space="4" w:color="auto"/>
        </w:pBdr>
        <w:rPr>
          <w:b/>
          <w:sz w:val="22"/>
          <w:szCs w:val="22"/>
        </w:rPr>
      </w:pPr>
      <w:r w:rsidRPr="001010E0">
        <w:rPr>
          <w:b/>
          <w:sz w:val="22"/>
          <w:szCs w:val="22"/>
        </w:rPr>
        <w:t>Coordinators ‘inherited’ Challenges (&amp; fatal flaws)</w:t>
      </w:r>
    </w:p>
    <w:p w:rsidR="001010E0" w:rsidRDefault="001010E0" w:rsidP="001010E0">
      <w:pPr>
        <w:pStyle w:val="Default"/>
        <w:numPr>
          <w:ilvl w:val="0"/>
          <w:numId w:val="16"/>
        </w:numPr>
        <w:pBdr>
          <w:top w:val="single" w:sz="4" w:space="1" w:color="auto"/>
          <w:left w:val="single" w:sz="4" w:space="4" w:color="auto"/>
          <w:bottom w:val="single" w:sz="4" w:space="1" w:color="auto"/>
          <w:right w:val="single" w:sz="4" w:space="4" w:color="auto"/>
        </w:pBdr>
        <w:rPr>
          <w:sz w:val="22"/>
          <w:szCs w:val="22"/>
        </w:rPr>
      </w:pPr>
      <w:r>
        <w:rPr>
          <w:sz w:val="22"/>
          <w:szCs w:val="22"/>
        </w:rPr>
        <w:t>Roll-out</w:t>
      </w:r>
    </w:p>
    <w:p w:rsidR="001010E0" w:rsidRDefault="001010E0" w:rsidP="001010E0">
      <w:pPr>
        <w:pStyle w:val="Default"/>
        <w:numPr>
          <w:ilvl w:val="0"/>
          <w:numId w:val="16"/>
        </w:numPr>
        <w:pBdr>
          <w:top w:val="single" w:sz="4" w:space="1" w:color="auto"/>
          <w:left w:val="single" w:sz="4" w:space="4" w:color="auto"/>
          <w:bottom w:val="single" w:sz="4" w:space="1" w:color="auto"/>
          <w:right w:val="single" w:sz="4" w:space="4" w:color="auto"/>
        </w:pBdr>
        <w:rPr>
          <w:sz w:val="22"/>
          <w:szCs w:val="22"/>
        </w:rPr>
      </w:pPr>
      <w:r>
        <w:rPr>
          <w:sz w:val="22"/>
          <w:szCs w:val="22"/>
        </w:rPr>
        <w:t>Partner Fatigue</w:t>
      </w:r>
    </w:p>
    <w:p w:rsidR="001010E0" w:rsidRDefault="001010E0" w:rsidP="001010E0">
      <w:pPr>
        <w:pStyle w:val="Default"/>
        <w:numPr>
          <w:ilvl w:val="0"/>
          <w:numId w:val="16"/>
        </w:numPr>
        <w:pBdr>
          <w:top w:val="single" w:sz="4" w:space="1" w:color="auto"/>
          <w:left w:val="single" w:sz="4" w:space="4" w:color="auto"/>
          <w:bottom w:val="single" w:sz="4" w:space="1" w:color="auto"/>
          <w:right w:val="single" w:sz="4" w:space="4" w:color="auto"/>
        </w:pBdr>
        <w:rPr>
          <w:sz w:val="22"/>
          <w:szCs w:val="22"/>
        </w:rPr>
      </w:pPr>
      <w:r>
        <w:rPr>
          <w:sz w:val="22"/>
          <w:szCs w:val="22"/>
        </w:rPr>
        <w:t>Partner Understanding</w:t>
      </w:r>
    </w:p>
    <w:p w:rsidR="001010E0" w:rsidRDefault="001010E0" w:rsidP="001010E0">
      <w:pPr>
        <w:pStyle w:val="Default"/>
        <w:numPr>
          <w:ilvl w:val="0"/>
          <w:numId w:val="16"/>
        </w:numPr>
        <w:pBdr>
          <w:top w:val="single" w:sz="4" w:space="1" w:color="auto"/>
          <w:left w:val="single" w:sz="4" w:space="4" w:color="auto"/>
          <w:bottom w:val="single" w:sz="4" w:space="1" w:color="auto"/>
          <w:right w:val="single" w:sz="4" w:space="4" w:color="auto"/>
        </w:pBdr>
        <w:rPr>
          <w:sz w:val="22"/>
          <w:szCs w:val="22"/>
        </w:rPr>
      </w:pPr>
      <w:r>
        <w:rPr>
          <w:sz w:val="22"/>
          <w:szCs w:val="22"/>
        </w:rPr>
        <w:t>Identity / Imperative</w:t>
      </w:r>
    </w:p>
    <w:p w:rsidR="004C2D88" w:rsidRDefault="004C2D88" w:rsidP="0050268F">
      <w:pPr>
        <w:pStyle w:val="Default"/>
        <w:rPr>
          <w:sz w:val="22"/>
          <w:szCs w:val="22"/>
        </w:rPr>
      </w:pPr>
    </w:p>
    <w:p w:rsidR="00A02F9C" w:rsidRDefault="00A02F9C">
      <w:pPr>
        <w:rPr>
          <w:rFonts w:ascii="Calibri" w:hAnsi="Calibri" w:cs="Calibri"/>
          <w:b/>
          <w:color w:val="000000"/>
        </w:rPr>
      </w:pPr>
      <w:r>
        <w:rPr>
          <w:b/>
        </w:rPr>
        <w:br w:type="page"/>
      </w:r>
    </w:p>
    <w:p w:rsidR="007D29E5" w:rsidRDefault="007D29E5" w:rsidP="007D29E5">
      <w:pPr>
        <w:pStyle w:val="Default"/>
        <w:pBdr>
          <w:bottom w:val="single" w:sz="6" w:space="1" w:color="auto"/>
        </w:pBdr>
        <w:rPr>
          <w:sz w:val="22"/>
          <w:szCs w:val="22"/>
        </w:rPr>
      </w:pPr>
    </w:p>
    <w:p w:rsidR="007D29E5" w:rsidRDefault="007D29E5" w:rsidP="007D29E5">
      <w:pPr>
        <w:pStyle w:val="Default"/>
        <w:rPr>
          <w:b/>
          <w:sz w:val="22"/>
          <w:szCs w:val="22"/>
        </w:rPr>
      </w:pPr>
      <w:r>
        <w:rPr>
          <w:b/>
          <w:sz w:val="22"/>
          <w:szCs w:val="22"/>
        </w:rPr>
        <w:t xml:space="preserve"> </w:t>
      </w:r>
    </w:p>
    <w:p w:rsidR="0033562A" w:rsidRDefault="0033562A" w:rsidP="007D29E5">
      <w:pPr>
        <w:pStyle w:val="Default"/>
        <w:rPr>
          <w:b/>
          <w:sz w:val="22"/>
          <w:szCs w:val="22"/>
        </w:rPr>
      </w:pPr>
      <w:r>
        <w:rPr>
          <w:b/>
          <w:sz w:val="22"/>
          <w:szCs w:val="22"/>
        </w:rPr>
        <w:t xml:space="preserve">(1) </w:t>
      </w:r>
      <w:r w:rsidR="00A02F9C">
        <w:rPr>
          <w:b/>
          <w:sz w:val="22"/>
          <w:szCs w:val="22"/>
        </w:rPr>
        <w:t xml:space="preserve">[Roll-out]  </w:t>
      </w:r>
      <w:r w:rsidR="0064397F">
        <w:rPr>
          <w:b/>
          <w:sz w:val="22"/>
          <w:szCs w:val="22"/>
        </w:rPr>
        <w:t xml:space="preserve">Defining </w:t>
      </w:r>
      <w:r>
        <w:rPr>
          <w:b/>
          <w:sz w:val="22"/>
          <w:szCs w:val="22"/>
        </w:rPr>
        <w:t>the Partnership</w:t>
      </w:r>
    </w:p>
    <w:p w:rsidR="00622DC9" w:rsidRDefault="00622DC9" w:rsidP="0064397F">
      <w:pPr>
        <w:pStyle w:val="Default"/>
        <w:spacing w:before="120"/>
        <w:rPr>
          <w:i/>
          <w:sz w:val="22"/>
          <w:szCs w:val="22"/>
        </w:rPr>
      </w:pPr>
      <w:r>
        <w:rPr>
          <w:b/>
          <w:sz w:val="22"/>
          <w:szCs w:val="22"/>
        </w:rPr>
        <w:t>Foundation</w:t>
      </w:r>
      <w:r w:rsidR="00DB34EB">
        <w:rPr>
          <w:b/>
          <w:sz w:val="22"/>
          <w:szCs w:val="22"/>
        </w:rPr>
        <w:t>al/Underlying Assumption</w:t>
      </w:r>
      <w:r w:rsidR="0064397F" w:rsidRPr="00622DC9">
        <w:rPr>
          <w:b/>
          <w:sz w:val="22"/>
          <w:szCs w:val="22"/>
        </w:rPr>
        <w:t>:</w:t>
      </w:r>
      <w:r w:rsidR="0064397F" w:rsidRPr="0064397F">
        <w:rPr>
          <w:i/>
          <w:sz w:val="22"/>
          <w:szCs w:val="22"/>
        </w:rPr>
        <w:t xml:space="preserve">  </w:t>
      </w:r>
      <w:r w:rsidR="0033562A" w:rsidRPr="0064397F">
        <w:rPr>
          <w:i/>
          <w:sz w:val="22"/>
          <w:szCs w:val="22"/>
        </w:rPr>
        <w:t xml:space="preserve">partnership should reflect the relevant system(s) as defined by the impact (issue) to be addressed and thereby identify/invite membership.  </w:t>
      </w:r>
      <w:r w:rsidR="0064397F" w:rsidRPr="0064397F">
        <w:rPr>
          <w:i/>
          <w:sz w:val="22"/>
          <w:szCs w:val="22"/>
        </w:rPr>
        <w:t xml:space="preserve">In the case of </w:t>
      </w:r>
      <w:r w:rsidR="0064397F">
        <w:rPr>
          <w:i/>
          <w:sz w:val="22"/>
          <w:szCs w:val="22"/>
        </w:rPr>
        <w:t xml:space="preserve">LCCs, </w:t>
      </w:r>
      <w:r w:rsidR="0064397F" w:rsidRPr="0064397F">
        <w:rPr>
          <w:i/>
          <w:sz w:val="22"/>
          <w:szCs w:val="22"/>
        </w:rPr>
        <w:t xml:space="preserve">the </w:t>
      </w:r>
      <w:r w:rsidR="0064397F">
        <w:rPr>
          <w:i/>
          <w:sz w:val="22"/>
          <w:szCs w:val="22"/>
        </w:rPr>
        <w:t>climate</w:t>
      </w:r>
      <w:r w:rsidR="0064397F" w:rsidRPr="0064397F">
        <w:rPr>
          <w:i/>
          <w:sz w:val="22"/>
          <w:szCs w:val="22"/>
        </w:rPr>
        <w:t xml:space="preserve"> impacts systems that ignore </w:t>
      </w:r>
      <w:r w:rsidR="0064397F">
        <w:rPr>
          <w:i/>
          <w:sz w:val="22"/>
          <w:szCs w:val="22"/>
        </w:rPr>
        <w:t xml:space="preserve">social/jurisdictional </w:t>
      </w:r>
      <w:r w:rsidR="0064397F" w:rsidRPr="0064397F">
        <w:rPr>
          <w:i/>
          <w:sz w:val="22"/>
          <w:szCs w:val="22"/>
        </w:rPr>
        <w:t xml:space="preserve">boundaries.  </w:t>
      </w:r>
    </w:p>
    <w:p w:rsidR="00622DC9" w:rsidRDefault="00622DC9" w:rsidP="0064397F">
      <w:pPr>
        <w:pStyle w:val="Default"/>
        <w:spacing w:before="120"/>
        <w:rPr>
          <w:i/>
          <w:sz w:val="22"/>
          <w:szCs w:val="22"/>
        </w:rPr>
      </w:pPr>
      <w:r w:rsidRPr="00622DC9">
        <w:rPr>
          <w:b/>
          <w:sz w:val="22"/>
          <w:szCs w:val="22"/>
        </w:rPr>
        <w:t>Approach:</w:t>
      </w:r>
      <w:r>
        <w:rPr>
          <w:i/>
          <w:sz w:val="22"/>
          <w:szCs w:val="22"/>
        </w:rPr>
        <w:t xml:space="preserve"> </w:t>
      </w:r>
      <w:r w:rsidRPr="0064397F">
        <w:rPr>
          <w:i/>
          <w:sz w:val="22"/>
          <w:szCs w:val="22"/>
        </w:rPr>
        <w:t>The operational approach chosen to respond to the climate and environmental challenges was defined based on an ecological “systems-focus” vs. an organizational “implementation-focus”</w:t>
      </w:r>
    </w:p>
    <w:p w:rsidR="00622DC9" w:rsidRDefault="00622DC9" w:rsidP="00622DC9">
      <w:pPr>
        <w:pStyle w:val="Default"/>
        <w:rPr>
          <w:b/>
          <w:sz w:val="22"/>
          <w:szCs w:val="22"/>
        </w:rPr>
      </w:pPr>
      <w:r>
        <w:rPr>
          <w:b/>
          <w:sz w:val="22"/>
          <w:szCs w:val="22"/>
        </w:rPr>
        <w:t>Fatal flaw:</w:t>
      </w:r>
      <w:r w:rsidRPr="0064397F">
        <w:rPr>
          <w:i/>
          <w:sz w:val="22"/>
          <w:szCs w:val="22"/>
        </w:rPr>
        <w:t xml:space="preserve"> design </w:t>
      </w:r>
      <w:r>
        <w:rPr>
          <w:i/>
          <w:sz w:val="22"/>
          <w:szCs w:val="22"/>
        </w:rPr>
        <w:t xml:space="preserve">of the partnership </w:t>
      </w:r>
      <w:r w:rsidRPr="0064397F">
        <w:rPr>
          <w:i/>
          <w:sz w:val="22"/>
          <w:szCs w:val="22"/>
        </w:rPr>
        <w:t>was operationally ‘blind’ of admin or legislative organizational responsibilities and authority</w:t>
      </w:r>
      <w:r>
        <w:rPr>
          <w:i/>
          <w:sz w:val="22"/>
          <w:szCs w:val="22"/>
        </w:rPr>
        <w:t xml:space="preserve">, and therefore possibly limit participation and potential success.  </w:t>
      </w:r>
    </w:p>
    <w:p w:rsidR="00C836B5" w:rsidRPr="0064397F" w:rsidRDefault="00C836B5" w:rsidP="0064397F">
      <w:pPr>
        <w:pStyle w:val="Default"/>
        <w:spacing w:before="120" w:after="120"/>
        <w:ind w:left="720"/>
        <w:rPr>
          <w:i/>
          <w:sz w:val="22"/>
          <w:szCs w:val="22"/>
        </w:rPr>
      </w:pPr>
    </w:p>
    <w:tbl>
      <w:tblPr>
        <w:tblStyle w:val="TableGrid"/>
        <w:tblW w:w="9445" w:type="dxa"/>
        <w:tblLook w:val="04A0" w:firstRow="1" w:lastRow="0" w:firstColumn="1" w:lastColumn="0" w:noHBand="0" w:noVBand="1"/>
      </w:tblPr>
      <w:tblGrid>
        <w:gridCol w:w="2487"/>
        <w:gridCol w:w="6958"/>
      </w:tblGrid>
      <w:tr w:rsidR="00BC3551" w:rsidRPr="003C264D" w:rsidTr="00BC3551">
        <w:tc>
          <w:tcPr>
            <w:tcW w:w="2487" w:type="dxa"/>
          </w:tcPr>
          <w:p w:rsidR="00BC3551" w:rsidRPr="003C264D" w:rsidRDefault="00BC3551" w:rsidP="00D51D6D">
            <w:pPr>
              <w:pStyle w:val="Default"/>
              <w:rPr>
                <w:b/>
                <w:bCs/>
              </w:rPr>
            </w:pPr>
            <w:r>
              <w:rPr>
                <w:b/>
                <w:bCs/>
              </w:rPr>
              <w:t>Challenge/Problem</w:t>
            </w:r>
          </w:p>
        </w:tc>
        <w:tc>
          <w:tcPr>
            <w:tcW w:w="6958" w:type="dxa"/>
          </w:tcPr>
          <w:p w:rsidR="00930F0C" w:rsidRDefault="0064397F" w:rsidP="00D51D6D">
            <w:pPr>
              <w:pStyle w:val="Default"/>
              <w:rPr>
                <w:bCs/>
              </w:rPr>
            </w:pPr>
            <w:r>
              <w:t>I</w:t>
            </w:r>
            <w:r w:rsidR="00930F0C" w:rsidRPr="009A6917">
              <w:rPr>
                <w:sz w:val="22"/>
                <w:szCs w:val="22"/>
              </w:rPr>
              <w:t>SSUE</w:t>
            </w:r>
            <w:r w:rsidR="00930F0C" w:rsidRPr="009A6917">
              <w:rPr>
                <w:bCs/>
              </w:rPr>
              <w:t xml:space="preserve">: </w:t>
            </w:r>
            <w:r>
              <w:rPr>
                <w:bCs/>
              </w:rPr>
              <w:t>“</w:t>
            </w:r>
            <w:r w:rsidR="00930F0C" w:rsidRPr="003C264D">
              <w:rPr>
                <w:bCs/>
              </w:rPr>
              <w:t>initial roll-out of LCCs in 2010 was poorly executed</w:t>
            </w:r>
            <w:r w:rsidR="00930F0C">
              <w:rPr>
                <w:bCs/>
              </w:rPr>
              <w:t xml:space="preserve">” </w:t>
            </w:r>
          </w:p>
          <w:p w:rsidR="00BC3551" w:rsidRPr="003C264D" w:rsidRDefault="00BC3551" w:rsidP="00930F0C">
            <w:pPr>
              <w:pStyle w:val="Default"/>
              <w:numPr>
                <w:ilvl w:val="0"/>
                <w:numId w:val="14"/>
              </w:numPr>
              <w:rPr>
                <w:b/>
                <w:bCs/>
              </w:rPr>
            </w:pPr>
            <w:r w:rsidRPr="003C264D">
              <w:t>(the concept was created by a limited number of staff in a single agency and did not engage partners in its creation).</w:t>
            </w:r>
          </w:p>
        </w:tc>
      </w:tr>
      <w:tr w:rsidR="00BC3551" w:rsidRPr="003C264D" w:rsidTr="00BC3551">
        <w:tc>
          <w:tcPr>
            <w:tcW w:w="2487" w:type="dxa"/>
          </w:tcPr>
          <w:p w:rsidR="00BC3551" w:rsidRPr="003C264D" w:rsidRDefault="00BC3551" w:rsidP="00D51D6D">
            <w:pPr>
              <w:pStyle w:val="Default"/>
              <w:rPr>
                <w:b/>
                <w:bCs/>
              </w:rPr>
            </w:pPr>
            <w:r w:rsidRPr="003C264D">
              <w:rPr>
                <w:b/>
                <w:bCs/>
              </w:rPr>
              <w:t>Impact</w:t>
            </w:r>
          </w:p>
        </w:tc>
        <w:tc>
          <w:tcPr>
            <w:tcW w:w="6958" w:type="dxa"/>
          </w:tcPr>
          <w:p w:rsidR="00930F0C" w:rsidRPr="00930F0C" w:rsidRDefault="00930F0C" w:rsidP="00930F0C">
            <w:pPr>
              <w:pStyle w:val="ListParagraph"/>
              <w:numPr>
                <w:ilvl w:val="0"/>
                <w:numId w:val="14"/>
              </w:numPr>
              <w:autoSpaceDE w:val="0"/>
              <w:autoSpaceDN w:val="0"/>
              <w:adjustRightInd w:val="0"/>
              <w:rPr>
                <w:b/>
                <w:bCs/>
              </w:rPr>
            </w:pPr>
            <w:r w:rsidRPr="003C264D">
              <w:t xml:space="preserve">partners felt the LCCs were forced on them </w:t>
            </w:r>
          </w:p>
          <w:p w:rsidR="00BC3551" w:rsidRPr="00930F0C" w:rsidRDefault="00BC3551" w:rsidP="00930F0C">
            <w:pPr>
              <w:pStyle w:val="ListParagraph"/>
              <w:numPr>
                <w:ilvl w:val="0"/>
                <w:numId w:val="14"/>
              </w:numPr>
              <w:autoSpaceDE w:val="0"/>
              <w:autoSpaceDN w:val="0"/>
              <w:adjustRightInd w:val="0"/>
              <w:rPr>
                <w:b/>
                <w:bCs/>
              </w:rPr>
            </w:pPr>
            <w:r w:rsidRPr="00930F0C">
              <w:rPr>
                <w:rFonts w:ascii="Calibri" w:hAnsi="Calibri" w:cs="Calibri"/>
                <w:color w:val="000000"/>
              </w:rPr>
              <w:t xml:space="preserve">LCCs were not uniformly embraced by partners. </w:t>
            </w:r>
          </w:p>
        </w:tc>
      </w:tr>
      <w:tr w:rsidR="00BC3551" w:rsidRPr="003C264D" w:rsidTr="00BC3551">
        <w:tc>
          <w:tcPr>
            <w:tcW w:w="2487" w:type="dxa"/>
          </w:tcPr>
          <w:p w:rsidR="00BC3551" w:rsidRPr="003C264D" w:rsidRDefault="00BC3551" w:rsidP="00D51D6D">
            <w:pPr>
              <w:pStyle w:val="Default"/>
              <w:rPr>
                <w:b/>
                <w:bCs/>
              </w:rPr>
            </w:pPr>
            <w:r>
              <w:rPr>
                <w:b/>
                <w:bCs/>
              </w:rPr>
              <w:t xml:space="preserve">Steps to </w:t>
            </w:r>
            <w:r w:rsidRPr="003C264D">
              <w:rPr>
                <w:b/>
                <w:bCs/>
              </w:rPr>
              <w:t>Overcome</w:t>
            </w:r>
          </w:p>
        </w:tc>
        <w:tc>
          <w:tcPr>
            <w:tcW w:w="6958" w:type="dxa"/>
          </w:tcPr>
          <w:p w:rsidR="00BC3551" w:rsidRPr="003C264D" w:rsidRDefault="00BC3551" w:rsidP="00D51D6D">
            <w:pPr>
              <w:pStyle w:val="Default"/>
              <w:rPr>
                <w:b/>
                <w:bCs/>
              </w:rPr>
            </w:pPr>
          </w:p>
        </w:tc>
      </w:tr>
      <w:tr w:rsidR="00BC3551" w:rsidRPr="003C264D" w:rsidTr="00BC3551">
        <w:tc>
          <w:tcPr>
            <w:tcW w:w="2487" w:type="dxa"/>
          </w:tcPr>
          <w:p w:rsidR="00BC3551" w:rsidRDefault="00F47D45" w:rsidP="00D51D6D">
            <w:pPr>
              <w:pStyle w:val="Default"/>
              <w:rPr>
                <w:b/>
                <w:bCs/>
              </w:rPr>
            </w:pPr>
            <w:r>
              <w:rPr>
                <w:b/>
                <w:bCs/>
              </w:rPr>
              <w:t xml:space="preserve">(+ /-) </w:t>
            </w:r>
            <w:r w:rsidR="00BC3551">
              <w:rPr>
                <w:b/>
                <w:bCs/>
              </w:rPr>
              <w:t>Outcome</w:t>
            </w:r>
          </w:p>
        </w:tc>
        <w:tc>
          <w:tcPr>
            <w:tcW w:w="6958" w:type="dxa"/>
          </w:tcPr>
          <w:p w:rsidR="00BC3551" w:rsidRPr="003C264D" w:rsidRDefault="00C836B5" w:rsidP="00D51D6D">
            <w:pPr>
              <w:pStyle w:val="Default"/>
              <w:rPr>
                <w:b/>
                <w:bCs/>
              </w:rPr>
            </w:pPr>
            <w:r>
              <w:t>“</w:t>
            </w:r>
            <w:r w:rsidR="00BC3551" w:rsidRPr="003C264D">
              <w:t>positive strides in partner relationships have been achieved in recent year</w:t>
            </w:r>
            <w:r w:rsidR="00BC3551">
              <w:t>s</w:t>
            </w:r>
            <w:r>
              <w:t>”</w:t>
            </w:r>
          </w:p>
        </w:tc>
      </w:tr>
      <w:tr w:rsidR="00BC3551" w:rsidRPr="003C264D" w:rsidTr="00BC3551">
        <w:tc>
          <w:tcPr>
            <w:tcW w:w="2487" w:type="dxa"/>
          </w:tcPr>
          <w:p w:rsidR="00BC3551" w:rsidRPr="003C264D" w:rsidRDefault="00BC3551" w:rsidP="00D51D6D">
            <w:pPr>
              <w:pStyle w:val="Default"/>
              <w:rPr>
                <w:b/>
                <w:bCs/>
              </w:rPr>
            </w:pPr>
            <w:r>
              <w:rPr>
                <w:b/>
                <w:bCs/>
              </w:rPr>
              <w:t>As Evident By</w:t>
            </w:r>
          </w:p>
        </w:tc>
        <w:tc>
          <w:tcPr>
            <w:tcW w:w="6958" w:type="dxa"/>
          </w:tcPr>
          <w:p w:rsidR="00BC3551" w:rsidRPr="003C264D" w:rsidRDefault="00C836B5" w:rsidP="00D51D6D">
            <w:pPr>
              <w:pStyle w:val="Default"/>
              <w:rPr>
                <w:b/>
                <w:bCs/>
              </w:rPr>
            </w:pPr>
            <w:r>
              <w:t>“</w:t>
            </w:r>
            <w:r w:rsidR="00BC3551" w:rsidRPr="003C264D">
              <w:t>There is interest in the program such that there are occasional Congressional requests for briefings on the LCC program and the previously uninterested House has provided funding in their last two appropriations bills</w:t>
            </w:r>
            <w:r>
              <w:t>”</w:t>
            </w:r>
          </w:p>
        </w:tc>
      </w:tr>
    </w:tbl>
    <w:p w:rsidR="003C264D" w:rsidRDefault="003C264D" w:rsidP="003C264D">
      <w:pPr>
        <w:pStyle w:val="Default"/>
      </w:pPr>
    </w:p>
    <w:p w:rsidR="00A02F9C" w:rsidRDefault="00A02F9C" w:rsidP="00DB34EB">
      <w:pPr>
        <w:pStyle w:val="Default"/>
        <w:spacing w:after="120"/>
        <w:ind w:left="810" w:hanging="810"/>
        <w:rPr>
          <w:b/>
        </w:rPr>
      </w:pPr>
    </w:p>
    <w:p w:rsidR="00A02F9C" w:rsidRDefault="00A02F9C">
      <w:pPr>
        <w:rPr>
          <w:rFonts w:ascii="Calibri" w:hAnsi="Calibri" w:cs="Calibri"/>
          <w:b/>
          <w:color w:val="000000"/>
          <w:sz w:val="24"/>
          <w:szCs w:val="24"/>
        </w:rPr>
      </w:pPr>
      <w:r>
        <w:rPr>
          <w:b/>
        </w:rPr>
        <w:br w:type="page"/>
      </w:r>
    </w:p>
    <w:p w:rsidR="007D29E5" w:rsidRDefault="007D29E5" w:rsidP="007D29E5">
      <w:pPr>
        <w:pStyle w:val="Default"/>
        <w:pBdr>
          <w:bottom w:val="single" w:sz="6" w:space="1" w:color="auto"/>
        </w:pBdr>
        <w:rPr>
          <w:sz w:val="22"/>
          <w:szCs w:val="22"/>
        </w:rPr>
      </w:pPr>
    </w:p>
    <w:p w:rsidR="007D29E5" w:rsidRDefault="007D29E5" w:rsidP="007D29E5">
      <w:pPr>
        <w:pStyle w:val="Default"/>
        <w:spacing w:after="120"/>
        <w:ind w:left="810" w:hanging="810"/>
        <w:rPr>
          <w:b/>
        </w:rPr>
      </w:pPr>
      <w:r>
        <w:rPr>
          <w:b/>
        </w:rPr>
        <w:t xml:space="preserve"> </w:t>
      </w:r>
    </w:p>
    <w:p w:rsidR="00622DC9" w:rsidRDefault="0064397F" w:rsidP="007D29E5">
      <w:pPr>
        <w:pStyle w:val="Default"/>
        <w:spacing w:after="120"/>
        <w:ind w:left="810" w:hanging="810"/>
        <w:rPr>
          <w:b/>
        </w:rPr>
      </w:pPr>
      <w:r>
        <w:rPr>
          <w:b/>
        </w:rPr>
        <w:t xml:space="preserve">(2) </w:t>
      </w:r>
      <w:r w:rsidR="00A02F9C">
        <w:rPr>
          <w:b/>
        </w:rPr>
        <w:t xml:space="preserve">[Partner Fatigue]  </w:t>
      </w:r>
      <w:r w:rsidR="00622DC9">
        <w:rPr>
          <w:b/>
        </w:rPr>
        <w:t>Expectation of Participation and Engagement</w:t>
      </w:r>
    </w:p>
    <w:p w:rsidR="00622DC9" w:rsidRPr="00A02F9C" w:rsidRDefault="00DB34EB" w:rsidP="00DB34EB">
      <w:pPr>
        <w:pStyle w:val="Default"/>
        <w:spacing w:after="120"/>
        <w:rPr>
          <w:i/>
          <w:sz w:val="22"/>
        </w:rPr>
      </w:pPr>
      <w:r>
        <w:rPr>
          <w:b/>
          <w:sz w:val="22"/>
          <w:szCs w:val="22"/>
        </w:rPr>
        <w:t>Foundational/Underlying Assumption</w:t>
      </w:r>
      <w:r w:rsidR="00622DC9" w:rsidRPr="00622DC9">
        <w:rPr>
          <w:b/>
          <w:sz w:val="22"/>
          <w:szCs w:val="22"/>
        </w:rPr>
        <w:t>:</w:t>
      </w:r>
      <w:r w:rsidR="00622DC9" w:rsidRPr="0064397F">
        <w:rPr>
          <w:i/>
          <w:sz w:val="22"/>
          <w:szCs w:val="22"/>
        </w:rPr>
        <w:t xml:space="preserve">  </w:t>
      </w:r>
      <w:r w:rsidR="00622DC9" w:rsidRPr="00A02F9C">
        <w:rPr>
          <w:i/>
          <w:sz w:val="22"/>
        </w:rPr>
        <w:t>Strength of the Partnership equated to capacity of the collective.</w:t>
      </w:r>
      <w:r w:rsidR="00622DC9" w:rsidRPr="00A02F9C">
        <w:rPr>
          <w:i/>
          <w:sz w:val="22"/>
        </w:rPr>
        <w:t xml:space="preserve"> </w:t>
      </w:r>
      <w:r w:rsidR="00622DC9" w:rsidRPr="00A02F9C">
        <w:rPr>
          <w:i/>
          <w:sz w:val="22"/>
        </w:rPr>
        <w:t>Success dependent on member organizational representati</w:t>
      </w:r>
      <w:r w:rsidR="00622DC9" w:rsidRPr="00A02F9C">
        <w:rPr>
          <w:i/>
          <w:sz w:val="22"/>
        </w:rPr>
        <w:t xml:space="preserve">on and </w:t>
      </w:r>
      <w:r w:rsidR="00622DC9" w:rsidRPr="00A02F9C">
        <w:rPr>
          <w:i/>
          <w:sz w:val="22"/>
        </w:rPr>
        <w:t xml:space="preserve">level of engagement.  </w:t>
      </w:r>
    </w:p>
    <w:p w:rsidR="00622DC9" w:rsidRDefault="00622DC9" w:rsidP="00DB34EB">
      <w:pPr>
        <w:pStyle w:val="Default"/>
        <w:spacing w:after="120"/>
      </w:pPr>
      <w:r w:rsidRPr="00622DC9">
        <w:rPr>
          <w:b/>
          <w:sz w:val="22"/>
          <w:szCs w:val="22"/>
        </w:rPr>
        <w:t>Approach:</w:t>
      </w:r>
      <w:r>
        <w:rPr>
          <w:i/>
          <w:sz w:val="22"/>
          <w:szCs w:val="22"/>
        </w:rPr>
        <w:t xml:space="preserve"> </w:t>
      </w:r>
      <w:r w:rsidR="00A02F9C">
        <w:rPr>
          <w:i/>
          <w:sz w:val="22"/>
          <w:szCs w:val="22"/>
        </w:rPr>
        <w:t>Nationally t</w:t>
      </w:r>
      <w:r w:rsidR="00DB34EB">
        <w:rPr>
          <w:i/>
          <w:sz w:val="22"/>
          <w:szCs w:val="22"/>
        </w:rPr>
        <w:t>he various units (LCCs) were established asynchronously, and at Tiered level of funding and staffing.  Lack of synchrony and equity across the network resulted in units competing for key members.</w:t>
      </w:r>
    </w:p>
    <w:p w:rsidR="00BC3551" w:rsidRPr="00A02F9C" w:rsidRDefault="00622DC9" w:rsidP="000A0299">
      <w:pPr>
        <w:pStyle w:val="Default"/>
        <w:spacing w:after="120"/>
        <w:rPr>
          <w:i/>
          <w:sz w:val="22"/>
          <w:szCs w:val="22"/>
        </w:rPr>
      </w:pPr>
      <w:r>
        <w:rPr>
          <w:b/>
          <w:sz w:val="22"/>
          <w:szCs w:val="22"/>
        </w:rPr>
        <w:t>Fatal flaw</w:t>
      </w:r>
      <w:r w:rsidRPr="00A02F9C">
        <w:rPr>
          <w:b/>
          <w:sz w:val="22"/>
          <w:szCs w:val="22"/>
        </w:rPr>
        <w:t>:</w:t>
      </w:r>
      <w:r w:rsidRPr="00A02F9C">
        <w:rPr>
          <w:i/>
          <w:sz w:val="22"/>
          <w:szCs w:val="22"/>
        </w:rPr>
        <w:t xml:space="preserve"> </w:t>
      </w:r>
      <w:r w:rsidR="00DB34EB" w:rsidRPr="00A02F9C">
        <w:rPr>
          <w:i/>
          <w:sz w:val="22"/>
          <w:szCs w:val="22"/>
        </w:rPr>
        <w:t>F</w:t>
      </w:r>
      <w:r w:rsidRPr="00A02F9C">
        <w:rPr>
          <w:i/>
          <w:sz w:val="22"/>
          <w:szCs w:val="22"/>
        </w:rPr>
        <w:t xml:space="preserve">ailure to compensate for the constraints on member </w:t>
      </w:r>
      <w:r w:rsidR="00DB34EB" w:rsidRPr="00A02F9C">
        <w:rPr>
          <w:i/>
          <w:sz w:val="22"/>
          <w:szCs w:val="22"/>
        </w:rPr>
        <w:t xml:space="preserve">organizations’ limited </w:t>
      </w:r>
      <w:r w:rsidRPr="00A02F9C">
        <w:rPr>
          <w:i/>
          <w:sz w:val="22"/>
          <w:szCs w:val="22"/>
        </w:rPr>
        <w:t>staffing-levels and capacity to engage</w:t>
      </w:r>
      <w:r w:rsidR="00DB34EB" w:rsidRPr="00A02F9C">
        <w:rPr>
          <w:i/>
          <w:sz w:val="22"/>
          <w:szCs w:val="22"/>
        </w:rPr>
        <w:t xml:space="preserve"> resulted in the i</w:t>
      </w:r>
      <w:r w:rsidR="00DB34EB" w:rsidRPr="00A02F9C">
        <w:rPr>
          <w:i/>
          <w:sz w:val="22"/>
          <w:szCs w:val="22"/>
        </w:rPr>
        <w:t>nability to engage all necessary partners</w:t>
      </w:r>
      <w:r w:rsidR="000A0299" w:rsidRPr="00A02F9C">
        <w:rPr>
          <w:i/>
          <w:sz w:val="22"/>
          <w:szCs w:val="22"/>
        </w:rPr>
        <w:t xml:space="preserve"> due to “Partner Fatigue”.</w:t>
      </w:r>
    </w:p>
    <w:tbl>
      <w:tblPr>
        <w:tblStyle w:val="TableGrid"/>
        <w:tblW w:w="9445" w:type="dxa"/>
        <w:tblLook w:val="04A0" w:firstRow="1" w:lastRow="0" w:firstColumn="1" w:lastColumn="0" w:noHBand="0" w:noVBand="1"/>
      </w:tblPr>
      <w:tblGrid>
        <w:gridCol w:w="2487"/>
        <w:gridCol w:w="6958"/>
      </w:tblGrid>
      <w:tr w:rsidR="00BC3551" w:rsidRPr="003C264D" w:rsidTr="00A541F9">
        <w:tc>
          <w:tcPr>
            <w:tcW w:w="2487" w:type="dxa"/>
          </w:tcPr>
          <w:p w:rsidR="00BC3551" w:rsidRPr="003C264D" w:rsidRDefault="00BC3551" w:rsidP="00A541F9">
            <w:pPr>
              <w:pStyle w:val="Default"/>
              <w:rPr>
                <w:b/>
                <w:bCs/>
              </w:rPr>
            </w:pPr>
            <w:r>
              <w:rPr>
                <w:b/>
                <w:bCs/>
              </w:rPr>
              <w:t>Challenge/Problem</w:t>
            </w:r>
          </w:p>
        </w:tc>
        <w:tc>
          <w:tcPr>
            <w:tcW w:w="6958" w:type="dxa"/>
          </w:tcPr>
          <w:p w:rsidR="00BC3551" w:rsidRDefault="00F47D45" w:rsidP="00BC3551">
            <w:pPr>
              <w:autoSpaceDE w:val="0"/>
              <w:autoSpaceDN w:val="0"/>
              <w:adjustRightInd w:val="0"/>
              <w:rPr>
                <w:rFonts w:ascii="Times New Roman" w:hAnsi="Times New Roman" w:cs="Times New Roman"/>
              </w:rPr>
            </w:pPr>
            <w:r w:rsidRPr="00F47D45">
              <w:t>LCC (operational unit area) boundary</w:t>
            </w:r>
            <w:r>
              <w:rPr>
                <w:b/>
              </w:rPr>
              <w:t xml:space="preserve"> </w:t>
            </w:r>
            <w:r w:rsidRPr="00BC3551">
              <w:rPr>
                <w:rFonts w:ascii="Times New Roman" w:hAnsi="Times New Roman" w:cs="Times New Roman"/>
              </w:rPr>
              <w:t xml:space="preserve">cross </w:t>
            </w:r>
            <w:r>
              <w:rPr>
                <w:rFonts w:ascii="Times New Roman" w:hAnsi="Times New Roman" w:cs="Times New Roman"/>
              </w:rPr>
              <w:t>(multiple)</w:t>
            </w:r>
            <w:r w:rsidRPr="00BC3551">
              <w:rPr>
                <w:rFonts w:ascii="Times New Roman" w:hAnsi="Times New Roman" w:cs="Times New Roman"/>
              </w:rPr>
              <w:t xml:space="preserve"> state boundaries</w:t>
            </w:r>
            <w:r w:rsidR="000A0299">
              <w:rPr>
                <w:rFonts w:ascii="Times New Roman" w:hAnsi="Times New Roman" w:cs="Times New Roman"/>
              </w:rPr>
              <w:t>.</w:t>
            </w:r>
          </w:p>
          <w:p w:rsidR="000A0299" w:rsidRPr="00BC3551" w:rsidRDefault="000A0299" w:rsidP="00BC3551">
            <w:pPr>
              <w:autoSpaceDE w:val="0"/>
              <w:autoSpaceDN w:val="0"/>
              <w:adjustRightInd w:val="0"/>
              <w:rPr>
                <w:rFonts w:ascii="Times New Roman" w:hAnsi="Times New Roman" w:cs="Times New Roman"/>
                <w:color w:val="000000"/>
                <w:sz w:val="24"/>
                <w:szCs w:val="24"/>
              </w:rPr>
            </w:pPr>
            <w:r>
              <w:rPr>
                <w:sz w:val="20"/>
              </w:rPr>
              <w:t>“</w:t>
            </w:r>
            <w:r w:rsidRPr="00F47D45">
              <w:rPr>
                <w:sz w:val="20"/>
              </w:rPr>
              <w:t>LCC boundary</w:t>
            </w:r>
            <w:r w:rsidRPr="00F47D45">
              <w:rPr>
                <w:b/>
                <w:sz w:val="20"/>
              </w:rPr>
              <w:t xml:space="preserve"> </w:t>
            </w:r>
            <w:r w:rsidRPr="00F47D45">
              <w:rPr>
                <w:rFonts w:ascii="Times New Roman" w:hAnsi="Times New Roman" w:cs="Times New Roman"/>
                <w:sz w:val="20"/>
              </w:rPr>
              <w:t>cross their state boundaries; governance relies on partner organizational representation; “</w:t>
            </w:r>
            <w:r w:rsidRPr="00F47D45">
              <w:rPr>
                <w:sz w:val="18"/>
              </w:rPr>
              <w:t xml:space="preserve">some cases, agencies simply do not have the staff </w:t>
            </w:r>
            <w:r w:rsidRPr="00F47D45">
              <w:rPr>
                <w:strike/>
                <w:sz w:val="18"/>
              </w:rPr>
              <w:t>capacity</w:t>
            </w:r>
            <w:r w:rsidRPr="00F47D45">
              <w:rPr>
                <w:sz w:val="18"/>
              </w:rPr>
              <w:t xml:space="preserve"> to provide representatives to sit on all geographically- or topically-relevant Steering Committees or Boards” …</w:t>
            </w:r>
            <w:r w:rsidRPr="00F47D45">
              <w:rPr>
                <w:b/>
                <w:bCs/>
                <w:sz w:val="18"/>
              </w:rPr>
              <w:t>] pg 7</w:t>
            </w:r>
          </w:p>
        </w:tc>
      </w:tr>
      <w:tr w:rsidR="00BC3551" w:rsidRPr="003C264D" w:rsidTr="00A541F9">
        <w:tc>
          <w:tcPr>
            <w:tcW w:w="2487" w:type="dxa"/>
          </w:tcPr>
          <w:p w:rsidR="00BC3551" w:rsidRPr="003C264D" w:rsidRDefault="00BC3551" w:rsidP="00A541F9">
            <w:pPr>
              <w:pStyle w:val="Default"/>
              <w:rPr>
                <w:b/>
                <w:bCs/>
              </w:rPr>
            </w:pPr>
            <w:r w:rsidRPr="003C264D">
              <w:rPr>
                <w:b/>
                <w:bCs/>
              </w:rPr>
              <w:t>Impact</w:t>
            </w:r>
          </w:p>
        </w:tc>
        <w:tc>
          <w:tcPr>
            <w:tcW w:w="6958" w:type="dxa"/>
          </w:tcPr>
          <w:p w:rsidR="009A6917" w:rsidRPr="009A6917" w:rsidRDefault="00F47D45" w:rsidP="009A6917">
            <w:pPr>
              <w:pStyle w:val="ListParagraph"/>
              <w:numPr>
                <w:ilvl w:val="0"/>
                <w:numId w:val="5"/>
              </w:numPr>
              <w:autoSpaceDE w:val="0"/>
              <w:autoSpaceDN w:val="0"/>
              <w:adjustRightInd w:val="0"/>
              <w:rPr>
                <w:rFonts w:ascii="Calibri" w:hAnsi="Calibri" w:cs="Calibri"/>
                <w:color w:val="000000"/>
              </w:rPr>
            </w:pPr>
            <w:r w:rsidRPr="00BC3551">
              <w:rPr>
                <w:b/>
              </w:rPr>
              <w:t>P</w:t>
            </w:r>
            <w:r w:rsidRPr="00BC3551">
              <w:rPr>
                <w:b/>
                <w:bCs/>
              </w:rPr>
              <w:t>artner fatigue</w:t>
            </w:r>
            <w:r>
              <w:rPr>
                <w:b/>
                <w:bCs/>
              </w:rPr>
              <w:t xml:space="preserve"> </w:t>
            </w:r>
            <w:r w:rsidR="009A6917">
              <w:rPr>
                <w:b/>
                <w:bCs/>
              </w:rPr>
              <w:t>…</w:t>
            </w:r>
            <w:r w:rsidR="009A6917" w:rsidRPr="009A6917">
              <w:rPr>
                <w:rFonts w:ascii="Calibri" w:hAnsi="Calibri" w:cs="Calibri"/>
                <w:color w:val="000000"/>
              </w:rPr>
              <w:t xml:space="preserve"> difficult for some partners to participate in all of these efforts</w:t>
            </w:r>
            <w:r w:rsidR="009A6917">
              <w:rPr>
                <w:rFonts w:ascii="Calibri" w:hAnsi="Calibri" w:cs="Calibri"/>
                <w:color w:val="000000"/>
              </w:rPr>
              <w:t>”</w:t>
            </w:r>
          </w:p>
          <w:p w:rsidR="009A6917" w:rsidRPr="009A6917" w:rsidRDefault="00F47D45" w:rsidP="009A6917">
            <w:pPr>
              <w:pStyle w:val="ListParagraph"/>
              <w:numPr>
                <w:ilvl w:val="0"/>
                <w:numId w:val="5"/>
              </w:numPr>
              <w:autoSpaceDE w:val="0"/>
              <w:autoSpaceDN w:val="0"/>
              <w:adjustRightInd w:val="0"/>
              <w:rPr>
                <w:rFonts w:ascii="Calibri" w:hAnsi="Calibri" w:cs="Calibri"/>
                <w:color w:val="000000"/>
              </w:rPr>
            </w:pPr>
            <w:r w:rsidRPr="00BC3551">
              <w:rPr>
                <w:rFonts w:ascii="Times New Roman" w:hAnsi="Times New Roman" w:cs="Times New Roman"/>
                <w:color w:val="000000"/>
                <w:sz w:val="24"/>
                <w:szCs w:val="24"/>
              </w:rPr>
              <w:t>may be a cause of some of the resistance that LCCs have experienced over the years.</w:t>
            </w:r>
          </w:p>
        </w:tc>
      </w:tr>
      <w:tr w:rsidR="00BC3551" w:rsidRPr="003C264D" w:rsidTr="00A541F9">
        <w:tc>
          <w:tcPr>
            <w:tcW w:w="2487" w:type="dxa"/>
          </w:tcPr>
          <w:p w:rsidR="00BC3551" w:rsidRPr="003C264D" w:rsidRDefault="00BC3551" w:rsidP="00A541F9">
            <w:pPr>
              <w:pStyle w:val="Default"/>
              <w:rPr>
                <w:b/>
                <w:bCs/>
              </w:rPr>
            </w:pPr>
            <w:r>
              <w:rPr>
                <w:b/>
                <w:bCs/>
              </w:rPr>
              <w:t xml:space="preserve">Steps to </w:t>
            </w:r>
            <w:r w:rsidRPr="003C264D">
              <w:rPr>
                <w:b/>
                <w:bCs/>
              </w:rPr>
              <w:t>Overcome</w:t>
            </w:r>
          </w:p>
        </w:tc>
        <w:tc>
          <w:tcPr>
            <w:tcW w:w="6958" w:type="dxa"/>
          </w:tcPr>
          <w:p w:rsidR="000A0299" w:rsidRDefault="009A6917" w:rsidP="009A6917">
            <w:pPr>
              <w:autoSpaceDE w:val="0"/>
              <w:autoSpaceDN w:val="0"/>
              <w:adjustRightInd w:val="0"/>
              <w:rPr>
                <w:rFonts w:ascii="Calibri" w:hAnsi="Calibri" w:cs="Calibri"/>
                <w:color w:val="000000"/>
              </w:rPr>
            </w:pPr>
            <w:r w:rsidRPr="009A6917">
              <w:rPr>
                <w:rFonts w:ascii="Calibri" w:hAnsi="Calibri" w:cs="Calibri"/>
                <w:color w:val="000000"/>
              </w:rPr>
              <w:t xml:space="preserve">NAS Review of LCCs recognized partner fatigue as a challenge for LCCs, and </w:t>
            </w:r>
          </w:p>
          <w:p w:rsidR="00BC3551" w:rsidRPr="000A0299" w:rsidRDefault="009A6917" w:rsidP="000A0299">
            <w:pPr>
              <w:pStyle w:val="ListParagraph"/>
              <w:numPr>
                <w:ilvl w:val="0"/>
                <w:numId w:val="15"/>
              </w:numPr>
              <w:autoSpaceDE w:val="0"/>
              <w:autoSpaceDN w:val="0"/>
              <w:adjustRightInd w:val="0"/>
              <w:rPr>
                <w:rFonts w:ascii="Calibri" w:hAnsi="Calibri" w:cs="Calibri"/>
                <w:color w:val="000000"/>
              </w:rPr>
            </w:pPr>
            <w:r w:rsidRPr="000A0299">
              <w:rPr>
                <w:rFonts w:ascii="Calibri" w:hAnsi="Calibri" w:cs="Calibri"/>
                <w:color w:val="000000"/>
              </w:rPr>
              <w:t xml:space="preserve">recommended that LCCs and Joint Ventures and Fish Habitat Partnerships coordinate more effectively, partly in response to that challenge, </w:t>
            </w:r>
          </w:p>
        </w:tc>
      </w:tr>
      <w:tr w:rsidR="00BC3551" w:rsidRPr="003C264D" w:rsidTr="00A541F9">
        <w:tc>
          <w:tcPr>
            <w:tcW w:w="2487" w:type="dxa"/>
          </w:tcPr>
          <w:p w:rsidR="00BC3551" w:rsidRDefault="00F47D45" w:rsidP="00A541F9">
            <w:pPr>
              <w:pStyle w:val="Default"/>
              <w:rPr>
                <w:b/>
                <w:bCs/>
              </w:rPr>
            </w:pPr>
            <w:r>
              <w:rPr>
                <w:b/>
                <w:bCs/>
              </w:rPr>
              <w:t xml:space="preserve">(+ /-) </w:t>
            </w:r>
            <w:r w:rsidR="00BC3551">
              <w:rPr>
                <w:b/>
                <w:bCs/>
              </w:rPr>
              <w:t>Outcome</w:t>
            </w:r>
          </w:p>
        </w:tc>
        <w:tc>
          <w:tcPr>
            <w:tcW w:w="6958" w:type="dxa"/>
          </w:tcPr>
          <w:p w:rsidR="00BC3551" w:rsidRPr="000A0299" w:rsidRDefault="009A6917" w:rsidP="000A0299">
            <w:pPr>
              <w:pStyle w:val="ListParagraph"/>
              <w:numPr>
                <w:ilvl w:val="0"/>
                <w:numId w:val="15"/>
              </w:numPr>
              <w:autoSpaceDE w:val="0"/>
              <w:autoSpaceDN w:val="0"/>
              <w:adjustRightInd w:val="0"/>
              <w:rPr>
                <w:rFonts w:ascii="Calibri" w:hAnsi="Calibri" w:cs="Calibri"/>
                <w:color w:val="000000"/>
              </w:rPr>
            </w:pPr>
            <w:r w:rsidRPr="000A0299">
              <w:rPr>
                <w:rFonts w:ascii="Calibri" w:hAnsi="Calibri" w:cs="Calibri"/>
                <w:color w:val="000000"/>
              </w:rPr>
              <w:t xml:space="preserve">To address this limitation in some regions, a constellation of LCCs have combined initiatives on a particular topic or split out topics among themselves, resulting in states or organizations choosing which LCC to participate in based on their perceived relevance of those topics </w:t>
            </w:r>
            <w:r w:rsidR="000A0299">
              <w:rPr>
                <w:rFonts w:ascii="Calibri" w:hAnsi="Calibri" w:cs="Calibri"/>
                <w:color w:val="000000"/>
              </w:rPr>
              <w:t>(</w:t>
            </w:r>
            <w:r w:rsidR="000A0299" w:rsidRPr="000A0299">
              <w:rPr>
                <w:rFonts w:ascii="Calibri" w:hAnsi="Calibri" w:cs="Calibri"/>
                <w:i/>
                <w:color w:val="000000"/>
              </w:rPr>
              <w:t xml:space="preserve">Q. is Gulf Hypox the example </w:t>
            </w:r>
            <w:r w:rsidR="000A0299">
              <w:rPr>
                <w:rFonts w:ascii="Calibri" w:hAnsi="Calibri" w:cs="Calibri"/>
                <w:i/>
                <w:color w:val="000000"/>
              </w:rPr>
              <w:t>in the reference to constellation of LCCs</w:t>
            </w:r>
            <w:r w:rsidR="000A0299" w:rsidRPr="000A0299">
              <w:rPr>
                <w:rFonts w:ascii="Calibri" w:hAnsi="Calibri" w:cs="Calibri"/>
                <w:i/>
                <w:color w:val="000000"/>
              </w:rPr>
              <w:t>?)</w:t>
            </w:r>
          </w:p>
        </w:tc>
      </w:tr>
      <w:tr w:rsidR="00BC3551" w:rsidRPr="003C264D" w:rsidTr="00A541F9">
        <w:tc>
          <w:tcPr>
            <w:tcW w:w="2487" w:type="dxa"/>
          </w:tcPr>
          <w:p w:rsidR="00BC3551" w:rsidRPr="003C264D" w:rsidRDefault="00BC3551" w:rsidP="00A541F9">
            <w:pPr>
              <w:pStyle w:val="Default"/>
              <w:rPr>
                <w:b/>
                <w:bCs/>
              </w:rPr>
            </w:pPr>
            <w:r>
              <w:rPr>
                <w:b/>
                <w:bCs/>
              </w:rPr>
              <w:t>As Evident By</w:t>
            </w:r>
          </w:p>
        </w:tc>
        <w:tc>
          <w:tcPr>
            <w:tcW w:w="6958" w:type="dxa"/>
          </w:tcPr>
          <w:p w:rsidR="000A0299" w:rsidRDefault="009A6917" w:rsidP="00A541F9">
            <w:pPr>
              <w:pStyle w:val="Default"/>
              <w:rPr>
                <w:b/>
                <w:bCs/>
              </w:rPr>
            </w:pPr>
            <w:r w:rsidRPr="009A6917">
              <w:rPr>
                <w:bCs/>
              </w:rPr>
              <w:t>[NAS Review</w:t>
            </w:r>
            <w:r w:rsidR="000A0299">
              <w:rPr>
                <w:bCs/>
              </w:rPr>
              <w:t xml:space="preserve"> offered this should be..</w:t>
            </w:r>
            <w:r w:rsidRPr="009A6917">
              <w:rPr>
                <w:bCs/>
              </w:rPr>
              <w:t>]</w:t>
            </w:r>
            <w:r>
              <w:rPr>
                <w:b/>
                <w:bCs/>
              </w:rPr>
              <w:t xml:space="preserve"> </w:t>
            </w:r>
          </w:p>
          <w:p w:rsidR="000A0299" w:rsidRDefault="009A6917" w:rsidP="000A0299">
            <w:pPr>
              <w:pStyle w:val="Default"/>
              <w:numPr>
                <w:ilvl w:val="0"/>
                <w:numId w:val="15"/>
              </w:numPr>
              <w:rPr>
                <w:sz w:val="22"/>
                <w:szCs w:val="22"/>
              </w:rPr>
            </w:pPr>
            <w:r w:rsidRPr="009A6917">
              <w:rPr>
                <w:sz w:val="22"/>
                <w:szCs w:val="22"/>
              </w:rPr>
              <w:t xml:space="preserve">there is not redundancy between the programs, and </w:t>
            </w:r>
          </w:p>
          <w:p w:rsidR="00BC3551" w:rsidRPr="009A6917" w:rsidRDefault="009A6917" w:rsidP="000A0299">
            <w:pPr>
              <w:pStyle w:val="Default"/>
              <w:numPr>
                <w:ilvl w:val="0"/>
                <w:numId w:val="15"/>
              </w:numPr>
              <w:rPr>
                <w:sz w:val="22"/>
                <w:szCs w:val="22"/>
              </w:rPr>
            </w:pPr>
            <w:r w:rsidRPr="009A6917">
              <w:rPr>
                <w:sz w:val="22"/>
                <w:szCs w:val="22"/>
              </w:rPr>
              <w:t xml:space="preserve">to increase overall conservation outcomes </w:t>
            </w:r>
          </w:p>
        </w:tc>
      </w:tr>
    </w:tbl>
    <w:p w:rsidR="00BC3551" w:rsidRPr="003C264D" w:rsidRDefault="00BC3551" w:rsidP="003C264D">
      <w:pPr>
        <w:pStyle w:val="Default"/>
      </w:pPr>
    </w:p>
    <w:p w:rsidR="000A0299" w:rsidRDefault="000A0299" w:rsidP="009A6917">
      <w:pPr>
        <w:pStyle w:val="Default"/>
        <w:rPr>
          <w:b/>
          <w:sz w:val="22"/>
          <w:szCs w:val="22"/>
        </w:rPr>
      </w:pPr>
    </w:p>
    <w:p w:rsidR="00A02F9C" w:rsidRDefault="00A02F9C">
      <w:pPr>
        <w:rPr>
          <w:rFonts w:ascii="Calibri" w:hAnsi="Calibri" w:cs="Calibri"/>
          <w:b/>
          <w:color w:val="000000"/>
        </w:rPr>
      </w:pPr>
      <w:r>
        <w:rPr>
          <w:b/>
        </w:rPr>
        <w:br w:type="page"/>
      </w:r>
    </w:p>
    <w:p w:rsidR="007D29E5" w:rsidRDefault="007D29E5" w:rsidP="007D29E5">
      <w:pPr>
        <w:pStyle w:val="Default"/>
        <w:pBdr>
          <w:bottom w:val="single" w:sz="6" w:space="1" w:color="auto"/>
        </w:pBdr>
        <w:rPr>
          <w:sz w:val="22"/>
          <w:szCs w:val="22"/>
        </w:rPr>
      </w:pPr>
    </w:p>
    <w:p w:rsidR="007D29E5" w:rsidRDefault="007D29E5" w:rsidP="007D29E5">
      <w:pPr>
        <w:pStyle w:val="Default"/>
        <w:spacing w:after="120"/>
        <w:rPr>
          <w:b/>
          <w:sz w:val="22"/>
          <w:szCs w:val="22"/>
        </w:rPr>
      </w:pPr>
      <w:r>
        <w:rPr>
          <w:b/>
          <w:sz w:val="22"/>
          <w:szCs w:val="22"/>
        </w:rPr>
        <w:t xml:space="preserve"> </w:t>
      </w:r>
    </w:p>
    <w:p w:rsidR="000A0299" w:rsidRDefault="000A0299" w:rsidP="007D29E5">
      <w:pPr>
        <w:pStyle w:val="Default"/>
        <w:spacing w:after="120"/>
        <w:rPr>
          <w:b/>
          <w:sz w:val="22"/>
          <w:szCs w:val="22"/>
        </w:rPr>
      </w:pPr>
      <w:r>
        <w:rPr>
          <w:b/>
          <w:sz w:val="22"/>
          <w:szCs w:val="22"/>
        </w:rPr>
        <w:t xml:space="preserve">(3) </w:t>
      </w:r>
      <w:r w:rsidR="00A02F9C">
        <w:rPr>
          <w:b/>
          <w:sz w:val="22"/>
          <w:szCs w:val="22"/>
        </w:rPr>
        <w:t>[</w:t>
      </w:r>
      <w:r w:rsidR="001010E0">
        <w:rPr>
          <w:b/>
          <w:sz w:val="22"/>
          <w:szCs w:val="22"/>
        </w:rPr>
        <w:t xml:space="preserve">Partner </w:t>
      </w:r>
      <w:r w:rsidR="00A02F9C">
        <w:rPr>
          <w:b/>
          <w:sz w:val="22"/>
          <w:szCs w:val="22"/>
        </w:rPr>
        <w:t>Understanding]   (Board) meeting structure to ensure understanding among participants</w:t>
      </w:r>
    </w:p>
    <w:p w:rsidR="000A0299" w:rsidRDefault="000A0299" w:rsidP="000A0299">
      <w:pPr>
        <w:pStyle w:val="Default"/>
        <w:spacing w:after="120"/>
        <w:rPr>
          <w:i/>
        </w:rPr>
      </w:pPr>
      <w:r>
        <w:rPr>
          <w:b/>
          <w:sz w:val="22"/>
          <w:szCs w:val="22"/>
        </w:rPr>
        <w:t xml:space="preserve"> </w:t>
      </w:r>
      <w:r>
        <w:rPr>
          <w:b/>
          <w:sz w:val="22"/>
          <w:szCs w:val="22"/>
        </w:rPr>
        <w:t>Foundational/Underlying Assumption</w:t>
      </w:r>
      <w:r w:rsidRPr="00622DC9">
        <w:rPr>
          <w:b/>
          <w:sz w:val="22"/>
          <w:szCs w:val="22"/>
        </w:rPr>
        <w:t>:</w:t>
      </w:r>
      <w:r w:rsidRPr="0064397F">
        <w:rPr>
          <w:i/>
          <w:sz w:val="22"/>
          <w:szCs w:val="22"/>
        </w:rPr>
        <w:t xml:space="preserve">  </w:t>
      </w:r>
      <w:r w:rsidRPr="000A0299">
        <w:rPr>
          <w:i/>
          <w:sz w:val="22"/>
          <w:szCs w:val="22"/>
        </w:rPr>
        <w:t>Participation in</w:t>
      </w:r>
      <w:r w:rsidR="00A02F9C">
        <w:rPr>
          <w:i/>
          <w:sz w:val="22"/>
          <w:szCs w:val="22"/>
        </w:rPr>
        <w:t xml:space="preserve"> </w:t>
      </w:r>
      <w:r w:rsidRPr="000A0299">
        <w:rPr>
          <w:i/>
          <w:sz w:val="22"/>
          <w:szCs w:val="22"/>
        </w:rPr>
        <w:t xml:space="preserve">Partnership </w:t>
      </w:r>
      <w:r w:rsidR="00A02F9C">
        <w:rPr>
          <w:i/>
          <w:sz w:val="22"/>
          <w:szCs w:val="22"/>
        </w:rPr>
        <w:t>m</w:t>
      </w:r>
      <w:r w:rsidRPr="000A0299">
        <w:rPr>
          <w:i/>
          <w:sz w:val="22"/>
          <w:szCs w:val="22"/>
        </w:rPr>
        <w:t>eeting</w:t>
      </w:r>
      <w:r w:rsidR="00A02F9C">
        <w:rPr>
          <w:i/>
          <w:sz w:val="22"/>
          <w:szCs w:val="22"/>
        </w:rPr>
        <w:t>s</w:t>
      </w:r>
      <w:r w:rsidRPr="000A0299">
        <w:rPr>
          <w:i/>
          <w:sz w:val="22"/>
          <w:szCs w:val="22"/>
        </w:rPr>
        <w:t xml:space="preserve"> </w:t>
      </w:r>
      <w:r w:rsidR="00A02F9C">
        <w:rPr>
          <w:i/>
          <w:sz w:val="22"/>
          <w:szCs w:val="22"/>
        </w:rPr>
        <w:t>w</w:t>
      </w:r>
      <w:r w:rsidRPr="000A0299">
        <w:rPr>
          <w:i/>
          <w:sz w:val="22"/>
          <w:szCs w:val="22"/>
        </w:rPr>
        <w:t xml:space="preserve">ould </w:t>
      </w:r>
      <w:r w:rsidR="00A02F9C">
        <w:rPr>
          <w:i/>
          <w:sz w:val="22"/>
          <w:szCs w:val="22"/>
        </w:rPr>
        <w:t>ensure</w:t>
      </w:r>
      <w:r w:rsidRPr="000A0299">
        <w:rPr>
          <w:i/>
          <w:sz w:val="22"/>
          <w:szCs w:val="22"/>
        </w:rPr>
        <w:t xml:space="preserve"> </w:t>
      </w:r>
      <w:r w:rsidR="00A02F9C">
        <w:rPr>
          <w:i/>
          <w:sz w:val="22"/>
          <w:szCs w:val="22"/>
        </w:rPr>
        <w:t>i</w:t>
      </w:r>
      <w:r w:rsidRPr="000A0299">
        <w:rPr>
          <w:i/>
          <w:sz w:val="22"/>
          <w:szCs w:val="22"/>
        </w:rPr>
        <w:t xml:space="preserve">nformation </w:t>
      </w:r>
      <w:r w:rsidR="00A02F9C">
        <w:rPr>
          <w:i/>
          <w:sz w:val="22"/>
          <w:szCs w:val="22"/>
        </w:rPr>
        <w:t>flow b</w:t>
      </w:r>
      <w:r w:rsidRPr="000A0299">
        <w:rPr>
          <w:i/>
          <w:sz w:val="22"/>
          <w:szCs w:val="22"/>
        </w:rPr>
        <w:t xml:space="preserve">ack to </w:t>
      </w:r>
      <w:r w:rsidR="00A02F9C">
        <w:rPr>
          <w:i/>
          <w:sz w:val="22"/>
          <w:szCs w:val="22"/>
        </w:rPr>
        <w:t>m</w:t>
      </w:r>
      <w:r w:rsidRPr="000A0299">
        <w:rPr>
          <w:i/>
          <w:sz w:val="22"/>
          <w:szCs w:val="22"/>
        </w:rPr>
        <w:t xml:space="preserve">ember </w:t>
      </w:r>
      <w:r w:rsidR="00A02F9C">
        <w:rPr>
          <w:i/>
          <w:sz w:val="22"/>
          <w:szCs w:val="22"/>
        </w:rPr>
        <w:t>o</w:t>
      </w:r>
      <w:r w:rsidRPr="000A0299">
        <w:rPr>
          <w:i/>
          <w:sz w:val="22"/>
          <w:szCs w:val="22"/>
        </w:rPr>
        <w:t>rganization</w:t>
      </w:r>
      <w:r>
        <w:rPr>
          <w:i/>
          <w:sz w:val="22"/>
          <w:szCs w:val="22"/>
        </w:rPr>
        <w:t xml:space="preserve">.  </w:t>
      </w:r>
    </w:p>
    <w:p w:rsidR="000A0299" w:rsidRDefault="000A0299" w:rsidP="000A0299">
      <w:pPr>
        <w:pStyle w:val="Default"/>
        <w:spacing w:after="120"/>
        <w:rPr>
          <w:i/>
          <w:sz w:val="22"/>
          <w:szCs w:val="22"/>
        </w:rPr>
      </w:pPr>
      <w:r w:rsidRPr="00622DC9">
        <w:rPr>
          <w:b/>
          <w:sz w:val="22"/>
          <w:szCs w:val="22"/>
        </w:rPr>
        <w:t>Approach:</w:t>
      </w:r>
      <w:r>
        <w:rPr>
          <w:i/>
          <w:sz w:val="22"/>
          <w:szCs w:val="22"/>
        </w:rPr>
        <w:t xml:space="preserve"> </w:t>
      </w:r>
    </w:p>
    <w:p w:rsidR="00A02F9C" w:rsidRPr="00A02F9C" w:rsidRDefault="000A0299" w:rsidP="000A0299">
      <w:pPr>
        <w:pStyle w:val="Default"/>
        <w:spacing w:after="120"/>
        <w:rPr>
          <w:i/>
        </w:rPr>
      </w:pPr>
      <w:r>
        <w:rPr>
          <w:b/>
          <w:sz w:val="22"/>
          <w:szCs w:val="22"/>
        </w:rPr>
        <w:t>Fatal flaw:</w:t>
      </w:r>
      <w:r w:rsidRPr="0064397F">
        <w:rPr>
          <w:i/>
          <w:sz w:val="22"/>
          <w:szCs w:val="22"/>
        </w:rPr>
        <w:t xml:space="preserve"> </w:t>
      </w:r>
      <w:r>
        <w:rPr>
          <w:i/>
        </w:rPr>
        <w:t>[not sure if it’s a case of (a) wrong organizational represented selected (personal attributes; level within the organization</w:t>
      </w:r>
      <w:r w:rsidR="00A02F9C">
        <w:rPr>
          <w:i/>
        </w:rPr>
        <w:t>, or (b) message not clearly delivered relying (solely) on partnership meetings as the fora to build the understanding and/or materials sufficient to support the representative’s efforts to communication / ‘reporting back’ the work of, and significance of the work of partnership (LCC).]</w:t>
      </w:r>
    </w:p>
    <w:p w:rsidR="000A0299" w:rsidRPr="009A6917" w:rsidRDefault="000A0299" w:rsidP="009A6917">
      <w:pPr>
        <w:pStyle w:val="Default"/>
        <w:rPr>
          <w:sz w:val="22"/>
          <w:szCs w:val="22"/>
        </w:rPr>
      </w:pPr>
    </w:p>
    <w:tbl>
      <w:tblPr>
        <w:tblStyle w:val="TableGrid"/>
        <w:tblW w:w="9445" w:type="dxa"/>
        <w:tblLook w:val="04A0" w:firstRow="1" w:lastRow="0" w:firstColumn="1" w:lastColumn="0" w:noHBand="0" w:noVBand="1"/>
      </w:tblPr>
      <w:tblGrid>
        <w:gridCol w:w="2487"/>
        <w:gridCol w:w="6958"/>
      </w:tblGrid>
      <w:tr w:rsidR="009A6917" w:rsidRPr="003C264D" w:rsidTr="00A541F9">
        <w:tc>
          <w:tcPr>
            <w:tcW w:w="2487" w:type="dxa"/>
          </w:tcPr>
          <w:p w:rsidR="009A6917" w:rsidRPr="003C264D" w:rsidRDefault="009A6917" w:rsidP="00A541F9">
            <w:pPr>
              <w:pStyle w:val="Default"/>
              <w:rPr>
                <w:b/>
                <w:bCs/>
              </w:rPr>
            </w:pPr>
            <w:r>
              <w:rPr>
                <w:b/>
                <w:bCs/>
              </w:rPr>
              <w:t>Challenge/Problem</w:t>
            </w:r>
          </w:p>
        </w:tc>
        <w:tc>
          <w:tcPr>
            <w:tcW w:w="6958" w:type="dxa"/>
          </w:tcPr>
          <w:p w:rsidR="009A6917" w:rsidRPr="00BC3551" w:rsidRDefault="00BD1C00" w:rsidP="00A541F9">
            <w:pPr>
              <w:autoSpaceDE w:val="0"/>
              <w:autoSpaceDN w:val="0"/>
              <w:adjustRightInd w:val="0"/>
              <w:rPr>
                <w:rFonts w:ascii="Times New Roman" w:hAnsi="Times New Roman" w:cs="Times New Roman"/>
                <w:color w:val="000000"/>
                <w:sz w:val="24"/>
                <w:szCs w:val="24"/>
              </w:rPr>
            </w:pPr>
            <w:r w:rsidRPr="009A6917">
              <w:t>participants in the LCC Network may not communicate with their home organizations about the work of the LCC and how it is benefiting their organization’s mission and goals</w:t>
            </w:r>
          </w:p>
        </w:tc>
      </w:tr>
      <w:tr w:rsidR="009A6917" w:rsidRPr="003C264D" w:rsidTr="00A541F9">
        <w:tc>
          <w:tcPr>
            <w:tcW w:w="2487" w:type="dxa"/>
          </w:tcPr>
          <w:p w:rsidR="009A6917" w:rsidRPr="003C264D" w:rsidRDefault="009A6917" w:rsidP="00A541F9">
            <w:pPr>
              <w:pStyle w:val="Default"/>
              <w:rPr>
                <w:b/>
                <w:bCs/>
              </w:rPr>
            </w:pPr>
            <w:r w:rsidRPr="003C264D">
              <w:rPr>
                <w:b/>
                <w:bCs/>
              </w:rPr>
              <w:t>Impact</w:t>
            </w:r>
          </w:p>
        </w:tc>
        <w:tc>
          <w:tcPr>
            <w:tcW w:w="6958" w:type="dxa"/>
          </w:tcPr>
          <w:p w:rsidR="009A6917" w:rsidRPr="00BD1C00" w:rsidRDefault="00BD1C00" w:rsidP="00BD1C00">
            <w:pPr>
              <w:autoSpaceDE w:val="0"/>
              <w:autoSpaceDN w:val="0"/>
              <w:adjustRightInd w:val="0"/>
              <w:rPr>
                <w:rFonts w:ascii="Calibri" w:hAnsi="Calibri" w:cs="Calibri"/>
                <w:color w:val="000000"/>
              </w:rPr>
            </w:pPr>
            <w:r w:rsidRPr="00BD1C00">
              <w:rPr>
                <w:rFonts w:ascii="Calibri" w:hAnsi="Calibri" w:cs="Calibri"/>
                <w:color w:val="000000"/>
              </w:rPr>
              <w:t xml:space="preserve">This can leave organization leadership with the belief that the LCCs are not useful to them and not contributing to their needs. </w:t>
            </w:r>
          </w:p>
        </w:tc>
      </w:tr>
      <w:tr w:rsidR="009A6917" w:rsidRPr="003C264D" w:rsidTr="00A541F9">
        <w:tc>
          <w:tcPr>
            <w:tcW w:w="2487" w:type="dxa"/>
          </w:tcPr>
          <w:p w:rsidR="009A6917" w:rsidRPr="003C264D" w:rsidRDefault="009A6917" w:rsidP="00A541F9">
            <w:pPr>
              <w:pStyle w:val="Default"/>
              <w:rPr>
                <w:b/>
                <w:bCs/>
              </w:rPr>
            </w:pPr>
            <w:r>
              <w:rPr>
                <w:b/>
                <w:bCs/>
              </w:rPr>
              <w:t xml:space="preserve">Steps to </w:t>
            </w:r>
            <w:r w:rsidRPr="003C264D">
              <w:rPr>
                <w:b/>
                <w:bCs/>
              </w:rPr>
              <w:t>Overcome</w:t>
            </w:r>
          </w:p>
        </w:tc>
        <w:tc>
          <w:tcPr>
            <w:tcW w:w="6958" w:type="dxa"/>
          </w:tcPr>
          <w:p w:rsidR="009A6917" w:rsidRPr="009A6917" w:rsidRDefault="009A6917" w:rsidP="00A541F9">
            <w:pPr>
              <w:autoSpaceDE w:val="0"/>
              <w:autoSpaceDN w:val="0"/>
              <w:adjustRightInd w:val="0"/>
              <w:rPr>
                <w:rFonts w:ascii="Calibri" w:hAnsi="Calibri" w:cs="Calibri"/>
                <w:color w:val="000000"/>
              </w:rPr>
            </w:pPr>
          </w:p>
        </w:tc>
      </w:tr>
      <w:tr w:rsidR="009A6917" w:rsidRPr="003C264D" w:rsidTr="00A541F9">
        <w:tc>
          <w:tcPr>
            <w:tcW w:w="2487" w:type="dxa"/>
          </w:tcPr>
          <w:p w:rsidR="009A6917" w:rsidRDefault="009A6917" w:rsidP="00A541F9">
            <w:pPr>
              <w:pStyle w:val="Default"/>
              <w:rPr>
                <w:b/>
                <w:bCs/>
              </w:rPr>
            </w:pPr>
            <w:r>
              <w:rPr>
                <w:b/>
                <w:bCs/>
              </w:rPr>
              <w:t>(+ /-) Outcome</w:t>
            </w:r>
          </w:p>
        </w:tc>
        <w:tc>
          <w:tcPr>
            <w:tcW w:w="6958" w:type="dxa"/>
          </w:tcPr>
          <w:p w:rsidR="009A6917" w:rsidRPr="009A6917" w:rsidRDefault="009A6917" w:rsidP="00A541F9">
            <w:pPr>
              <w:autoSpaceDE w:val="0"/>
              <w:autoSpaceDN w:val="0"/>
              <w:adjustRightInd w:val="0"/>
              <w:rPr>
                <w:rFonts w:ascii="Calibri" w:hAnsi="Calibri" w:cs="Calibri"/>
                <w:color w:val="000000"/>
              </w:rPr>
            </w:pPr>
          </w:p>
        </w:tc>
      </w:tr>
      <w:tr w:rsidR="009A6917" w:rsidRPr="003C264D" w:rsidTr="00A541F9">
        <w:tc>
          <w:tcPr>
            <w:tcW w:w="2487" w:type="dxa"/>
          </w:tcPr>
          <w:p w:rsidR="009A6917" w:rsidRPr="003C264D" w:rsidRDefault="009A6917" w:rsidP="00A541F9">
            <w:pPr>
              <w:pStyle w:val="Default"/>
              <w:rPr>
                <w:b/>
                <w:bCs/>
              </w:rPr>
            </w:pPr>
            <w:r>
              <w:rPr>
                <w:b/>
                <w:bCs/>
              </w:rPr>
              <w:t>As Evident By</w:t>
            </w:r>
          </w:p>
        </w:tc>
        <w:tc>
          <w:tcPr>
            <w:tcW w:w="6958" w:type="dxa"/>
          </w:tcPr>
          <w:p w:rsidR="009A6917" w:rsidRPr="009A6917" w:rsidRDefault="009A6917" w:rsidP="00A541F9">
            <w:pPr>
              <w:pStyle w:val="Default"/>
              <w:rPr>
                <w:sz w:val="22"/>
                <w:szCs w:val="22"/>
              </w:rPr>
            </w:pPr>
          </w:p>
        </w:tc>
      </w:tr>
    </w:tbl>
    <w:p w:rsidR="003C264D" w:rsidRDefault="003C264D" w:rsidP="0050268F">
      <w:pPr>
        <w:pStyle w:val="Default"/>
        <w:rPr>
          <w:sz w:val="22"/>
          <w:szCs w:val="22"/>
        </w:rPr>
      </w:pPr>
    </w:p>
    <w:p w:rsidR="00A02F9C" w:rsidRDefault="00A02F9C" w:rsidP="0050268F">
      <w:pPr>
        <w:pStyle w:val="Default"/>
        <w:rPr>
          <w:sz w:val="22"/>
          <w:szCs w:val="22"/>
        </w:rPr>
      </w:pPr>
    </w:p>
    <w:p w:rsidR="00A02F9C" w:rsidRDefault="00A02F9C">
      <w:pPr>
        <w:rPr>
          <w:rFonts w:ascii="Calibri" w:hAnsi="Calibri" w:cs="Calibri"/>
          <w:b/>
          <w:color w:val="000000"/>
        </w:rPr>
      </w:pPr>
      <w:r>
        <w:rPr>
          <w:b/>
        </w:rPr>
        <w:br w:type="page"/>
      </w:r>
    </w:p>
    <w:p w:rsidR="007D29E5" w:rsidRDefault="007D29E5" w:rsidP="007D29E5">
      <w:pPr>
        <w:pStyle w:val="Default"/>
        <w:pBdr>
          <w:bottom w:val="single" w:sz="6" w:space="1" w:color="auto"/>
        </w:pBdr>
        <w:rPr>
          <w:sz w:val="22"/>
          <w:szCs w:val="22"/>
        </w:rPr>
      </w:pPr>
    </w:p>
    <w:p w:rsidR="007D29E5" w:rsidRDefault="007D29E5" w:rsidP="007D29E5">
      <w:pPr>
        <w:pStyle w:val="Default"/>
        <w:spacing w:after="120"/>
        <w:rPr>
          <w:b/>
          <w:sz w:val="22"/>
          <w:szCs w:val="22"/>
        </w:rPr>
      </w:pPr>
      <w:r w:rsidRPr="00A02F9C">
        <w:rPr>
          <w:b/>
          <w:sz w:val="22"/>
          <w:szCs w:val="22"/>
        </w:rPr>
        <w:t xml:space="preserve"> </w:t>
      </w:r>
    </w:p>
    <w:p w:rsidR="00FD7368" w:rsidRDefault="00A02F9C" w:rsidP="007D29E5">
      <w:pPr>
        <w:pStyle w:val="Default"/>
        <w:spacing w:after="120"/>
        <w:rPr>
          <w:sz w:val="18"/>
        </w:rPr>
      </w:pPr>
      <w:r w:rsidRPr="00A02F9C">
        <w:rPr>
          <w:b/>
          <w:sz w:val="22"/>
          <w:szCs w:val="22"/>
        </w:rPr>
        <w:t xml:space="preserve">(4) </w:t>
      </w:r>
      <w:r w:rsidR="00BD1C00" w:rsidRPr="009A6917">
        <w:rPr>
          <w:b/>
          <w:sz w:val="22"/>
          <w:szCs w:val="22"/>
        </w:rPr>
        <w:t>[</w:t>
      </w:r>
      <w:r w:rsidR="001010E0">
        <w:rPr>
          <w:b/>
          <w:sz w:val="22"/>
          <w:szCs w:val="22"/>
        </w:rPr>
        <w:t>Identity / Imperative</w:t>
      </w:r>
      <w:r w:rsidR="00BD1C00" w:rsidRPr="009A6917">
        <w:rPr>
          <w:b/>
          <w:sz w:val="22"/>
          <w:szCs w:val="22"/>
        </w:rPr>
        <w:t>]</w:t>
      </w:r>
      <w:r w:rsidR="00FD7368">
        <w:rPr>
          <w:b/>
          <w:sz w:val="22"/>
          <w:szCs w:val="22"/>
        </w:rPr>
        <w:t xml:space="preserve">  </w:t>
      </w:r>
      <w:r w:rsidR="00FD7368" w:rsidRPr="00FD7368">
        <w:rPr>
          <w:sz w:val="18"/>
        </w:rPr>
        <w:t xml:space="preserve">LCCs </w:t>
      </w:r>
      <w:r w:rsidR="00FD7368">
        <w:rPr>
          <w:sz w:val="18"/>
        </w:rPr>
        <w:t>report</w:t>
      </w:r>
      <w:r w:rsidR="00875F6B">
        <w:rPr>
          <w:sz w:val="18"/>
        </w:rPr>
        <w:t xml:space="preserve">ed </w:t>
      </w:r>
      <w:r w:rsidR="00FD7368">
        <w:rPr>
          <w:sz w:val="18"/>
        </w:rPr>
        <w:t xml:space="preserve">on a narrow-set of metrics (wildlife-centric vs. landscape impact) </w:t>
      </w:r>
      <w:r w:rsidR="00FD7368" w:rsidRPr="00FD7368">
        <w:rPr>
          <w:sz w:val="18"/>
        </w:rPr>
        <w:t xml:space="preserve">making it difficult to </w:t>
      </w:r>
      <w:r w:rsidR="00FD7368">
        <w:rPr>
          <w:sz w:val="18"/>
        </w:rPr>
        <w:t>that roll-up to quantify impact</w:t>
      </w:r>
      <w:r w:rsidR="00FD7368" w:rsidRPr="00FD7368">
        <w:rPr>
          <w:sz w:val="18"/>
        </w:rPr>
        <w:t xml:space="preserve"> </w:t>
      </w:r>
      <w:r w:rsidR="00FD7368">
        <w:rPr>
          <w:sz w:val="18"/>
        </w:rPr>
        <w:t xml:space="preserve">and </w:t>
      </w:r>
      <w:r w:rsidR="00FD7368" w:rsidRPr="00FD7368">
        <w:rPr>
          <w:sz w:val="18"/>
        </w:rPr>
        <w:t>assess cumulative contribution of the Network</w:t>
      </w:r>
      <w:r w:rsidR="00FD7368">
        <w:rPr>
          <w:sz w:val="18"/>
        </w:rPr>
        <w:t>.</w:t>
      </w:r>
    </w:p>
    <w:p w:rsidR="00FD7368" w:rsidRDefault="00FD7368" w:rsidP="00FD7368">
      <w:pPr>
        <w:pStyle w:val="Default"/>
        <w:spacing w:after="120"/>
        <w:rPr>
          <w:i/>
          <w:sz w:val="22"/>
          <w:szCs w:val="22"/>
        </w:rPr>
      </w:pPr>
      <w:r>
        <w:rPr>
          <w:b/>
          <w:sz w:val="22"/>
          <w:szCs w:val="22"/>
        </w:rPr>
        <w:t>Foundational/Underlying Assumption</w:t>
      </w:r>
      <w:r w:rsidRPr="00622DC9">
        <w:rPr>
          <w:b/>
          <w:sz w:val="22"/>
          <w:szCs w:val="22"/>
        </w:rPr>
        <w:t>:</w:t>
      </w:r>
      <w:r w:rsidRPr="0064397F">
        <w:rPr>
          <w:i/>
          <w:sz w:val="22"/>
          <w:szCs w:val="22"/>
        </w:rPr>
        <w:t xml:space="preserve">  </w:t>
      </w:r>
      <w:r w:rsidR="00F7774C">
        <w:rPr>
          <w:sz w:val="18"/>
        </w:rPr>
        <w:t xml:space="preserve">The </w:t>
      </w:r>
      <w:r w:rsidR="00F7774C" w:rsidRPr="009E10AC">
        <w:rPr>
          <w:sz w:val="18"/>
        </w:rPr>
        <w:t>unifying vision</w:t>
      </w:r>
      <w:r w:rsidR="00F7774C">
        <w:rPr>
          <w:sz w:val="18"/>
        </w:rPr>
        <w:t xml:space="preserve"> of </w:t>
      </w:r>
      <w:r w:rsidR="00F7774C" w:rsidRPr="009E10AC">
        <w:rPr>
          <w:sz w:val="18"/>
        </w:rPr>
        <w:t xml:space="preserve">the LCC Network </w:t>
      </w:r>
      <w:r w:rsidR="00F7774C">
        <w:rPr>
          <w:sz w:val="18"/>
        </w:rPr>
        <w:t xml:space="preserve">creation focused on its critical function as a climate adaptation response.  But quickly that was silenced in response to political pressures in efforts to retain funding support.  Other more immediate threat-based responses were identified as </w:t>
      </w:r>
      <w:r w:rsidR="00F7774C" w:rsidRPr="009E10AC">
        <w:rPr>
          <w:sz w:val="18"/>
        </w:rPr>
        <w:t>priorities, reflecting the diversity of their partners and their partnerships’ priorities, and to some extent, the regional and cultural differences that exist across the Network.</w:t>
      </w:r>
    </w:p>
    <w:p w:rsidR="00FD7368" w:rsidRPr="00FD7368" w:rsidRDefault="00FD7368" w:rsidP="00FD7368">
      <w:pPr>
        <w:pStyle w:val="Default"/>
        <w:spacing w:after="120"/>
        <w:rPr>
          <w:b/>
          <w:sz w:val="22"/>
          <w:szCs w:val="22"/>
        </w:rPr>
      </w:pPr>
      <w:r w:rsidRPr="00622DC9">
        <w:rPr>
          <w:b/>
          <w:sz w:val="22"/>
          <w:szCs w:val="22"/>
        </w:rPr>
        <w:t>Approach:</w:t>
      </w:r>
      <w:r>
        <w:rPr>
          <w:i/>
          <w:sz w:val="22"/>
          <w:szCs w:val="22"/>
        </w:rPr>
        <w:t xml:space="preserve"> </w:t>
      </w:r>
      <w:r w:rsidRPr="009E10AC">
        <w:rPr>
          <w:sz w:val="18"/>
        </w:rPr>
        <w:t xml:space="preserve">Lacking a unifying vision, the LCC Network </w:t>
      </w:r>
      <w:r>
        <w:rPr>
          <w:sz w:val="18"/>
        </w:rPr>
        <w:t xml:space="preserve">(collectively) </w:t>
      </w:r>
      <w:r w:rsidRPr="009E10AC">
        <w:rPr>
          <w:sz w:val="18"/>
        </w:rPr>
        <w:t>has established a variety of priorities, reflecting the diversity of their partners and their partnerships’ priorities, and to some extent, the regional and cultural differences that exist across the Network.</w:t>
      </w:r>
    </w:p>
    <w:p w:rsidR="00BD1C00" w:rsidRDefault="00FD7368" w:rsidP="00F7774C">
      <w:pPr>
        <w:autoSpaceDE w:val="0"/>
        <w:autoSpaceDN w:val="0"/>
        <w:adjustRightInd w:val="0"/>
        <w:spacing w:after="0" w:line="240" w:lineRule="auto"/>
        <w:rPr>
          <w:rFonts w:ascii="Calibri" w:hAnsi="Calibri" w:cs="Calibri"/>
          <w:color w:val="000000"/>
          <w:sz w:val="18"/>
        </w:rPr>
      </w:pPr>
      <w:r w:rsidRPr="00FD7368">
        <w:rPr>
          <w:b/>
        </w:rPr>
        <w:t>Fatal flaw:</w:t>
      </w:r>
      <w:r w:rsidRPr="00FD7368">
        <w:rPr>
          <w:i/>
        </w:rPr>
        <w:t xml:space="preserve"> </w:t>
      </w:r>
      <w:r w:rsidR="007D29E5">
        <w:rPr>
          <w:rFonts w:ascii="Calibri" w:hAnsi="Calibri" w:cs="Calibri"/>
          <w:color w:val="000000"/>
          <w:sz w:val="18"/>
        </w:rPr>
        <w:t xml:space="preserve">Related to the challenge in the “roll-out” of LCCs approach on the national agenda, was the inability to explain the imperative of the approach as the </w:t>
      </w:r>
      <w:r w:rsidR="00F7774C">
        <w:rPr>
          <w:rFonts w:ascii="Calibri" w:hAnsi="Calibri" w:cs="Calibri"/>
          <w:color w:val="000000"/>
          <w:sz w:val="18"/>
        </w:rPr>
        <w:t xml:space="preserve">truly value-added function of </w:t>
      </w:r>
      <w:r w:rsidR="007D29E5">
        <w:rPr>
          <w:rFonts w:ascii="Calibri" w:hAnsi="Calibri" w:cs="Calibri"/>
          <w:color w:val="000000"/>
          <w:sz w:val="18"/>
        </w:rPr>
        <w:t>a nationally-</w:t>
      </w:r>
      <w:r w:rsidR="00F7774C">
        <w:rPr>
          <w:rFonts w:ascii="Calibri" w:hAnsi="Calibri" w:cs="Calibri"/>
          <w:color w:val="000000"/>
          <w:sz w:val="18"/>
        </w:rPr>
        <w:t xml:space="preserve">coordinated landscape approach </w:t>
      </w:r>
      <w:r w:rsidR="007D29E5">
        <w:rPr>
          <w:rFonts w:ascii="Calibri" w:hAnsi="Calibri" w:cs="Calibri"/>
          <w:color w:val="000000"/>
          <w:sz w:val="18"/>
        </w:rPr>
        <w:t>(LCC Network).  A</w:t>
      </w:r>
      <w:r w:rsidR="007D29E5">
        <w:rPr>
          <w:rFonts w:ascii="Calibri" w:hAnsi="Calibri" w:cs="Calibri"/>
          <w:color w:val="000000"/>
          <w:sz w:val="18"/>
        </w:rPr>
        <w:t xml:space="preserve">bandoning </w:t>
      </w:r>
      <w:r w:rsidR="007D29E5">
        <w:rPr>
          <w:rFonts w:ascii="Calibri" w:hAnsi="Calibri" w:cs="Calibri"/>
          <w:color w:val="000000"/>
          <w:sz w:val="18"/>
        </w:rPr>
        <w:t xml:space="preserve">efforts to communicate the </w:t>
      </w:r>
      <w:r w:rsidR="00F7774C">
        <w:rPr>
          <w:rFonts w:ascii="Calibri" w:hAnsi="Calibri" w:cs="Calibri"/>
          <w:color w:val="000000"/>
          <w:sz w:val="18"/>
        </w:rPr>
        <w:t>forward-looking climate response</w:t>
      </w:r>
      <w:r w:rsidR="007D29E5">
        <w:rPr>
          <w:rFonts w:ascii="Calibri" w:hAnsi="Calibri" w:cs="Calibri"/>
          <w:color w:val="000000"/>
          <w:sz w:val="18"/>
        </w:rPr>
        <w:t xml:space="preserve"> and its critical need in conserving natural resources, biological diversity, and environmental heath </w:t>
      </w:r>
      <w:r w:rsidR="00F7774C">
        <w:rPr>
          <w:rFonts w:ascii="Calibri" w:hAnsi="Calibri" w:cs="Calibri"/>
          <w:color w:val="000000"/>
          <w:sz w:val="18"/>
        </w:rPr>
        <w:t xml:space="preserve">was short-sighted.  That left the Network without a unifying </w:t>
      </w:r>
      <w:r w:rsidR="007D29E5">
        <w:rPr>
          <w:rFonts w:ascii="Calibri" w:hAnsi="Calibri" w:cs="Calibri"/>
          <w:color w:val="000000"/>
          <w:sz w:val="18"/>
        </w:rPr>
        <w:t xml:space="preserve">vision and </w:t>
      </w:r>
      <w:r w:rsidR="00F7774C">
        <w:rPr>
          <w:rFonts w:ascii="Calibri" w:hAnsi="Calibri" w:cs="Calibri"/>
          <w:color w:val="000000"/>
          <w:sz w:val="18"/>
        </w:rPr>
        <w:t xml:space="preserve">mission and struggling to </w:t>
      </w:r>
      <w:r w:rsidRPr="00FD7368">
        <w:rPr>
          <w:rFonts w:ascii="Calibri" w:hAnsi="Calibri" w:cs="Calibri"/>
          <w:color w:val="000000"/>
          <w:sz w:val="18"/>
        </w:rPr>
        <w:t>communicat</w:t>
      </w:r>
      <w:r w:rsidR="00F7774C">
        <w:rPr>
          <w:rFonts w:ascii="Calibri" w:hAnsi="Calibri" w:cs="Calibri"/>
          <w:color w:val="000000"/>
          <w:sz w:val="18"/>
        </w:rPr>
        <w:t xml:space="preserve">e </w:t>
      </w:r>
      <w:r w:rsidRPr="00FD7368">
        <w:rPr>
          <w:rFonts w:ascii="Calibri" w:hAnsi="Calibri" w:cs="Calibri"/>
          <w:color w:val="000000"/>
          <w:sz w:val="18"/>
        </w:rPr>
        <w:t xml:space="preserve">what the Network is. </w:t>
      </w:r>
      <w:r w:rsidRPr="009E10AC">
        <w:rPr>
          <w:rFonts w:ascii="Calibri" w:hAnsi="Calibri" w:cs="Calibri"/>
          <w:color w:val="000000"/>
          <w:sz w:val="18"/>
        </w:rPr>
        <w:t>Related to this is confusion surrounding how LCCs, CSCs, JVs, and Fish Habitat Partnerships and other partnerships are unique and complementary</w:t>
      </w:r>
      <w:r>
        <w:rPr>
          <w:rFonts w:ascii="Calibri" w:hAnsi="Calibri" w:cs="Calibri"/>
          <w:color w:val="000000"/>
          <w:sz w:val="18"/>
        </w:rPr>
        <w:t>.</w:t>
      </w:r>
    </w:p>
    <w:p w:rsidR="00875F6B" w:rsidRPr="00875F6B" w:rsidRDefault="00875F6B" w:rsidP="00875F6B">
      <w:pPr>
        <w:autoSpaceDE w:val="0"/>
        <w:autoSpaceDN w:val="0"/>
        <w:adjustRightInd w:val="0"/>
        <w:spacing w:after="0" w:line="240" w:lineRule="auto"/>
        <w:rPr>
          <w:rFonts w:ascii="Calibri" w:hAnsi="Calibri" w:cs="Calibri"/>
          <w:color w:val="000000"/>
          <w:sz w:val="18"/>
        </w:rPr>
      </w:pPr>
    </w:p>
    <w:tbl>
      <w:tblPr>
        <w:tblStyle w:val="TableGrid"/>
        <w:tblW w:w="9445" w:type="dxa"/>
        <w:tblLook w:val="04A0" w:firstRow="1" w:lastRow="0" w:firstColumn="1" w:lastColumn="0" w:noHBand="0" w:noVBand="1"/>
      </w:tblPr>
      <w:tblGrid>
        <w:gridCol w:w="2487"/>
        <w:gridCol w:w="6958"/>
      </w:tblGrid>
      <w:tr w:rsidR="00BD1C00" w:rsidRPr="003C264D" w:rsidTr="00A541F9">
        <w:tc>
          <w:tcPr>
            <w:tcW w:w="2487" w:type="dxa"/>
          </w:tcPr>
          <w:p w:rsidR="00BD1C00" w:rsidRPr="003C264D" w:rsidRDefault="00BD1C00" w:rsidP="00A541F9">
            <w:pPr>
              <w:pStyle w:val="Default"/>
              <w:rPr>
                <w:b/>
                <w:bCs/>
              </w:rPr>
            </w:pPr>
            <w:r>
              <w:rPr>
                <w:b/>
                <w:bCs/>
              </w:rPr>
              <w:t>Challenge/Problem</w:t>
            </w:r>
          </w:p>
        </w:tc>
        <w:tc>
          <w:tcPr>
            <w:tcW w:w="6958" w:type="dxa"/>
          </w:tcPr>
          <w:p w:rsidR="00BD1C00" w:rsidRPr="00BC3551" w:rsidRDefault="00BD1C00" w:rsidP="00A541F9">
            <w:pPr>
              <w:autoSpaceDE w:val="0"/>
              <w:autoSpaceDN w:val="0"/>
              <w:adjustRightInd w:val="0"/>
              <w:rPr>
                <w:rFonts w:ascii="Times New Roman" w:hAnsi="Times New Roman" w:cs="Times New Roman"/>
                <w:color w:val="000000"/>
                <w:sz w:val="24"/>
                <w:szCs w:val="24"/>
              </w:rPr>
            </w:pPr>
          </w:p>
        </w:tc>
      </w:tr>
      <w:tr w:rsidR="00BD1C00" w:rsidRPr="003C264D" w:rsidTr="00A541F9">
        <w:tc>
          <w:tcPr>
            <w:tcW w:w="2487" w:type="dxa"/>
          </w:tcPr>
          <w:p w:rsidR="00BD1C00" w:rsidRPr="003C264D" w:rsidRDefault="00BD1C00" w:rsidP="00A541F9">
            <w:pPr>
              <w:pStyle w:val="Default"/>
              <w:rPr>
                <w:b/>
                <w:bCs/>
              </w:rPr>
            </w:pPr>
            <w:r w:rsidRPr="003C264D">
              <w:rPr>
                <w:b/>
                <w:bCs/>
              </w:rPr>
              <w:t>Impact</w:t>
            </w:r>
          </w:p>
        </w:tc>
        <w:tc>
          <w:tcPr>
            <w:tcW w:w="6958" w:type="dxa"/>
          </w:tcPr>
          <w:p w:rsidR="009E10AC" w:rsidRDefault="009E10AC" w:rsidP="009E10AC">
            <w:pPr>
              <w:pStyle w:val="ListParagraph"/>
              <w:numPr>
                <w:ilvl w:val="0"/>
                <w:numId w:val="7"/>
              </w:numPr>
              <w:autoSpaceDE w:val="0"/>
              <w:autoSpaceDN w:val="0"/>
              <w:adjustRightInd w:val="0"/>
              <w:rPr>
                <w:rFonts w:ascii="Calibri" w:hAnsi="Calibri" w:cs="Calibri"/>
                <w:color w:val="000000"/>
              </w:rPr>
            </w:pPr>
            <w:r w:rsidRPr="009E10AC">
              <w:rPr>
                <w:rFonts w:ascii="Calibri" w:hAnsi="Calibri" w:cs="Calibri"/>
                <w:color w:val="000000"/>
              </w:rPr>
              <w:t xml:space="preserve">initial skepticism about the network, </w:t>
            </w:r>
          </w:p>
          <w:p w:rsidR="009E10AC" w:rsidRDefault="009E10AC" w:rsidP="009E10AC">
            <w:pPr>
              <w:pStyle w:val="ListParagraph"/>
              <w:numPr>
                <w:ilvl w:val="0"/>
                <w:numId w:val="7"/>
              </w:numPr>
              <w:autoSpaceDE w:val="0"/>
              <w:autoSpaceDN w:val="0"/>
              <w:adjustRightInd w:val="0"/>
              <w:rPr>
                <w:rFonts w:ascii="Calibri" w:hAnsi="Calibri" w:cs="Calibri"/>
                <w:color w:val="000000"/>
              </w:rPr>
            </w:pPr>
            <w:r w:rsidRPr="009E10AC">
              <w:rPr>
                <w:rFonts w:ascii="Calibri" w:hAnsi="Calibri" w:cs="Calibri"/>
                <w:color w:val="000000"/>
              </w:rPr>
              <w:t xml:space="preserve">fine tension between the self-directed nature of each LCC and being part of a network </w:t>
            </w:r>
          </w:p>
          <w:p w:rsidR="00BD1C00" w:rsidRPr="00BD1C00" w:rsidRDefault="009E10AC" w:rsidP="009E10AC">
            <w:pPr>
              <w:pStyle w:val="ListParagraph"/>
              <w:numPr>
                <w:ilvl w:val="0"/>
                <w:numId w:val="7"/>
              </w:numPr>
              <w:autoSpaceDE w:val="0"/>
              <w:autoSpaceDN w:val="0"/>
              <w:adjustRightInd w:val="0"/>
              <w:rPr>
                <w:rFonts w:ascii="Calibri" w:hAnsi="Calibri" w:cs="Calibri"/>
                <w:color w:val="000000"/>
              </w:rPr>
            </w:pPr>
            <w:r w:rsidRPr="009E10AC">
              <w:rPr>
                <w:rFonts w:ascii="Calibri" w:hAnsi="Calibri" w:cs="Calibri"/>
                <w:color w:val="000000"/>
              </w:rPr>
              <w:t xml:space="preserve">has contributed to lack of understanding even by some who have engaged in the LCCs as to what the LCCs are, how they are different, and what their value added is. </w:t>
            </w:r>
          </w:p>
        </w:tc>
      </w:tr>
      <w:tr w:rsidR="00BD1C00" w:rsidRPr="003C264D" w:rsidTr="00A541F9">
        <w:tc>
          <w:tcPr>
            <w:tcW w:w="2487" w:type="dxa"/>
          </w:tcPr>
          <w:p w:rsidR="00BD1C00" w:rsidRPr="003C264D" w:rsidRDefault="00BD1C00" w:rsidP="00A541F9">
            <w:pPr>
              <w:pStyle w:val="Default"/>
              <w:rPr>
                <w:b/>
                <w:bCs/>
              </w:rPr>
            </w:pPr>
            <w:r>
              <w:rPr>
                <w:b/>
                <w:bCs/>
              </w:rPr>
              <w:t xml:space="preserve">Steps to </w:t>
            </w:r>
            <w:r w:rsidRPr="003C264D">
              <w:rPr>
                <w:b/>
                <w:bCs/>
              </w:rPr>
              <w:t>Overcome</w:t>
            </w:r>
          </w:p>
        </w:tc>
        <w:tc>
          <w:tcPr>
            <w:tcW w:w="6958" w:type="dxa"/>
          </w:tcPr>
          <w:p w:rsidR="00BD1C00" w:rsidRPr="009E10AC" w:rsidRDefault="009E10AC" w:rsidP="009E10AC">
            <w:pPr>
              <w:pStyle w:val="Default"/>
              <w:rPr>
                <w:sz w:val="22"/>
                <w:szCs w:val="22"/>
              </w:rPr>
            </w:pPr>
            <w:r>
              <w:t xml:space="preserve">[re: identity] </w:t>
            </w:r>
            <w:r w:rsidRPr="009E10AC">
              <w:rPr>
                <w:sz w:val="22"/>
                <w:szCs w:val="22"/>
              </w:rPr>
              <w:t xml:space="preserve">LCC Network has had extensive discussions around the idea of “an ecologically connected network of landscapes and seascapes”, and this is emerging as a potential unifying purpose for LCCs. </w:t>
            </w:r>
          </w:p>
        </w:tc>
      </w:tr>
      <w:tr w:rsidR="00BD1C00" w:rsidRPr="003C264D" w:rsidTr="00A541F9">
        <w:tc>
          <w:tcPr>
            <w:tcW w:w="2487" w:type="dxa"/>
          </w:tcPr>
          <w:p w:rsidR="00BD1C00" w:rsidRDefault="00BD1C00" w:rsidP="00A541F9">
            <w:pPr>
              <w:pStyle w:val="Default"/>
              <w:rPr>
                <w:b/>
                <w:bCs/>
              </w:rPr>
            </w:pPr>
            <w:r>
              <w:rPr>
                <w:b/>
                <w:bCs/>
              </w:rPr>
              <w:t>(+ /-) Outcome</w:t>
            </w:r>
          </w:p>
        </w:tc>
        <w:tc>
          <w:tcPr>
            <w:tcW w:w="6958" w:type="dxa"/>
          </w:tcPr>
          <w:p w:rsidR="00BD1C00" w:rsidRPr="009A6917" w:rsidRDefault="00BD1C00" w:rsidP="00A541F9">
            <w:pPr>
              <w:autoSpaceDE w:val="0"/>
              <w:autoSpaceDN w:val="0"/>
              <w:adjustRightInd w:val="0"/>
              <w:rPr>
                <w:rFonts w:ascii="Calibri" w:hAnsi="Calibri" w:cs="Calibri"/>
                <w:color w:val="000000"/>
              </w:rPr>
            </w:pPr>
          </w:p>
        </w:tc>
      </w:tr>
      <w:tr w:rsidR="00BD1C00" w:rsidRPr="003C264D" w:rsidTr="00A541F9">
        <w:tc>
          <w:tcPr>
            <w:tcW w:w="2487" w:type="dxa"/>
          </w:tcPr>
          <w:p w:rsidR="00BD1C00" w:rsidRPr="003C264D" w:rsidRDefault="00BD1C00" w:rsidP="00A541F9">
            <w:pPr>
              <w:pStyle w:val="Default"/>
              <w:rPr>
                <w:b/>
                <w:bCs/>
              </w:rPr>
            </w:pPr>
            <w:r>
              <w:rPr>
                <w:b/>
                <w:bCs/>
              </w:rPr>
              <w:t>As Evident By</w:t>
            </w:r>
          </w:p>
        </w:tc>
        <w:tc>
          <w:tcPr>
            <w:tcW w:w="6958" w:type="dxa"/>
          </w:tcPr>
          <w:p w:rsidR="00BD1C00" w:rsidRPr="009A6917" w:rsidRDefault="00BD1C00" w:rsidP="00A541F9">
            <w:pPr>
              <w:pStyle w:val="Default"/>
              <w:rPr>
                <w:sz w:val="22"/>
                <w:szCs w:val="22"/>
              </w:rPr>
            </w:pPr>
          </w:p>
        </w:tc>
      </w:tr>
    </w:tbl>
    <w:p w:rsidR="00BD1C00" w:rsidRDefault="00BD1C00" w:rsidP="0050268F">
      <w:pPr>
        <w:pStyle w:val="Default"/>
        <w:rPr>
          <w:sz w:val="22"/>
          <w:szCs w:val="22"/>
        </w:rPr>
      </w:pPr>
    </w:p>
    <w:p w:rsidR="0050268F" w:rsidRDefault="0050268F" w:rsidP="0050268F">
      <w:pPr>
        <w:pStyle w:val="Default"/>
        <w:rPr>
          <w:sz w:val="22"/>
          <w:szCs w:val="22"/>
        </w:rPr>
      </w:pPr>
    </w:p>
    <w:p w:rsidR="0050268F" w:rsidRPr="0050268F" w:rsidRDefault="0050268F" w:rsidP="0050268F">
      <w:pPr>
        <w:pStyle w:val="Default"/>
        <w:rPr>
          <w:sz w:val="22"/>
          <w:szCs w:val="22"/>
        </w:rPr>
      </w:pPr>
    </w:p>
    <w:p w:rsidR="003D4FA6" w:rsidRDefault="003D4FA6"/>
    <w:sectPr w:rsidR="003D4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399" w:rsidRDefault="002C0399" w:rsidP="00BC3551">
      <w:pPr>
        <w:spacing w:after="0" w:line="240" w:lineRule="auto"/>
      </w:pPr>
      <w:r>
        <w:separator/>
      </w:r>
    </w:p>
  </w:endnote>
  <w:endnote w:type="continuationSeparator" w:id="0">
    <w:p w:rsidR="002C0399" w:rsidRDefault="002C0399" w:rsidP="00BC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399" w:rsidRDefault="002C0399" w:rsidP="00BC3551">
      <w:pPr>
        <w:spacing w:after="0" w:line="240" w:lineRule="auto"/>
      </w:pPr>
      <w:r>
        <w:separator/>
      </w:r>
    </w:p>
  </w:footnote>
  <w:footnote w:type="continuationSeparator" w:id="0">
    <w:p w:rsidR="002C0399" w:rsidRDefault="002C0399" w:rsidP="00BC3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E560AC"/>
    <w:multiLevelType w:val="hybridMultilevel"/>
    <w:tmpl w:val="900A40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FD9C7F"/>
    <w:multiLevelType w:val="hybridMultilevel"/>
    <w:tmpl w:val="5AF79A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1723A5"/>
    <w:multiLevelType w:val="hybridMultilevel"/>
    <w:tmpl w:val="4A6396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B5E98"/>
    <w:multiLevelType w:val="hybridMultilevel"/>
    <w:tmpl w:val="E5C6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D5102E"/>
    <w:multiLevelType w:val="hybridMultilevel"/>
    <w:tmpl w:val="EA1CBD8A"/>
    <w:lvl w:ilvl="0" w:tplc="4EAA3B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31623"/>
    <w:multiLevelType w:val="hybridMultilevel"/>
    <w:tmpl w:val="C362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BA4930"/>
    <w:multiLevelType w:val="hybridMultilevel"/>
    <w:tmpl w:val="09A073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1525AD"/>
    <w:multiLevelType w:val="hybridMultilevel"/>
    <w:tmpl w:val="32D8041A"/>
    <w:lvl w:ilvl="0" w:tplc="C4126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849ED"/>
    <w:multiLevelType w:val="hybridMultilevel"/>
    <w:tmpl w:val="EEB40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B0DA7"/>
    <w:multiLevelType w:val="hybridMultilevel"/>
    <w:tmpl w:val="E21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C869A"/>
    <w:multiLevelType w:val="hybridMultilevel"/>
    <w:tmpl w:val="75B44D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644F87"/>
    <w:multiLevelType w:val="hybridMultilevel"/>
    <w:tmpl w:val="5C52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55B34"/>
    <w:multiLevelType w:val="hybridMultilevel"/>
    <w:tmpl w:val="5D4C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164D6"/>
    <w:multiLevelType w:val="hybridMultilevel"/>
    <w:tmpl w:val="5D40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0597B"/>
    <w:multiLevelType w:val="hybridMultilevel"/>
    <w:tmpl w:val="5942A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EF0F43"/>
    <w:multiLevelType w:val="hybridMultilevel"/>
    <w:tmpl w:val="3C1C6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1"/>
  </w:num>
  <w:num w:numId="4">
    <w:abstractNumId w:val="9"/>
  </w:num>
  <w:num w:numId="5">
    <w:abstractNumId w:val="5"/>
  </w:num>
  <w:num w:numId="6">
    <w:abstractNumId w:val="14"/>
  </w:num>
  <w:num w:numId="7">
    <w:abstractNumId w:val="15"/>
  </w:num>
  <w:num w:numId="8">
    <w:abstractNumId w:val="13"/>
  </w:num>
  <w:num w:numId="9">
    <w:abstractNumId w:val="2"/>
  </w:num>
  <w:num w:numId="10">
    <w:abstractNumId w:val="0"/>
  </w:num>
  <w:num w:numId="11">
    <w:abstractNumId w:val="11"/>
  </w:num>
  <w:num w:numId="12">
    <w:abstractNumId w:val="4"/>
  </w:num>
  <w:num w:numId="13">
    <w:abstractNumId w:val="12"/>
  </w:num>
  <w:num w:numId="14">
    <w:abstractNumId w:val="8"/>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A6"/>
    <w:rsid w:val="00030607"/>
    <w:rsid w:val="000A0299"/>
    <w:rsid w:val="000A3841"/>
    <w:rsid w:val="001010E0"/>
    <w:rsid w:val="002322B9"/>
    <w:rsid w:val="002C0399"/>
    <w:rsid w:val="0033562A"/>
    <w:rsid w:val="003C264D"/>
    <w:rsid w:val="003D4FA6"/>
    <w:rsid w:val="004C2D88"/>
    <w:rsid w:val="0050268F"/>
    <w:rsid w:val="005944D0"/>
    <w:rsid w:val="005D2687"/>
    <w:rsid w:val="00622DC9"/>
    <w:rsid w:val="0064397F"/>
    <w:rsid w:val="006D7E3C"/>
    <w:rsid w:val="006E7555"/>
    <w:rsid w:val="007D29E5"/>
    <w:rsid w:val="00875F6B"/>
    <w:rsid w:val="00930F0C"/>
    <w:rsid w:val="009A6917"/>
    <w:rsid w:val="009E10AC"/>
    <w:rsid w:val="00A02F9C"/>
    <w:rsid w:val="00BB0668"/>
    <w:rsid w:val="00BC3551"/>
    <w:rsid w:val="00BD1C00"/>
    <w:rsid w:val="00BF6EDF"/>
    <w:rsid w:val="00C0700B"/>
    <w:rsid w:val="00C836B5"/>
    <w:rsid w:val="00DB34EB"/>
    <w:rsid w:val="00ED03B0"/>
    <w:rsid w:val="00F47D45"/>
    <w:rsid w:val="00F7774C"/>
    <w:rsid w:val="00FD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C1AF"/>
  <w15:chartTrackingRefBased/>
  <w15:docId w15:val="{6BE2280F-FCF2-451C-B919-61B922F8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FA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C264D"/>
    <w:pPr>
      <w:ind w:left="720"/>
      <w:contextualSpacing/>
    </w:pPr>
  </w:style>
  <w:style w:type="table" w:styleId="TableGrid">
    <w:name w:val="Table Grid"/>
    <w:basedOn w:val="TableNormal"/>
    <w:uiPriority w:val="39"/>
    <w:rsid w:val="003C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551"/>
  </w:style>
  <w:style w:type="paragraph" w:styleId="Footer">
    <w:name w:val="footer"/>
    <w:basedOn w:val="Normal"/>
    <w:link w:val="FooterChar"/>
    <w:uiPriority w:val="99"/>
    <w:unhideWhenUsed/>
    <w:rsid w:val="00BC3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Brennan</dc:creator>
  <cp:keywords/>
  <dc:description/>
  <cp:lastModifiedBy>J Brennan</cp:lastModifiedBy>
  <cp:revision>4</cp:revision>
  <dcterms:created xsi:type="dcterms:W3CDTF">2017-12-18T00:56:00Z</dcterms:created>
  <dcterms:modified xsi:type="dcterms:W3CDTF">2017-12-18T01:17:00Z</dcterms:modified>
</cp:coreProperties>
</file>